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B368" w14:textId="77777777" w:rsidR="0051193F" w:rsidRDefault="00F615B8">
      <w:r>
        <w:rPr>
          <w:noProof/>
        </w:rPr>
        <w:drawing>
          <wp:inline distT="0" distB="0" distL="0" distR="0" wp14:anchorId="3828DECC" wp14:editId="12F802F7">
            <wp:extent cx="2857500" cy="625078"/>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logoCOE.png"/>
                    <pic:cNvPicPr>
                      <a:picLocks noChangeAspect="1" noChangeArrowheads="1"/>
                    </pic:cNvPicPr>
                  </pic:nvPicPr>
                  <pic:blipFill>
                    <a:blip r:embed="rId8"/>
                    <a:stretch>
                      <a:fillRect/>
                    </a:stretch>
                  </pic:blipFill>
                  <pic:spPr bwMode="auto">
                    <a:xfrm>
                      <a:off x="0" y="0"/>
                      <a:ext cx="2857500" cy="625078"/>
                    </a:xfrm>
                    <a:prstGeom prst="rect">
                      <a:avLst/>
                    </a:prstGeom>
                    <a:noFill/>
                    <a:ln w="9525">
                      <a:noFill/>
                      <a:headEnd/>
                      <a:tailEnd/>
                    </a:ln>
                  </pic:spPr>
                </pic:pic>
              </a:graphicData>
            </a:graphic>
          </wp:inline>
        </w:drawing>
      </w:r>
    </w:p>
    <w:p w14:paraId="19D57221" w14:textId="7FCB41B4" w:rsidR="0051193F" w:rsidRPr="00C87DF0" w:rsidRDefault="00F615B8" w:rsidP="00C87DF0">
      <w:pPr>
        <w:spacing w:after="0"/>
        <w:jc w:val="center"/>
        <w:rPr>
          <w:sz w:val="44"/>
          <w:szCs w:val="44"/>
        </w:rPr>
      </w:pPr>
      <w:r w:rsidRPr="00C87DF0">
        <w:rPr>
          <w:b/>
          <w:bCs/>
          <w:sz w:val="44"/>
          <w:szCs w:val="44"/>
        </w:rPr>
        <w:t xml:space="preserve">Labor Market Analysis for </w:t>
      </w:r>
      <w:r w:rsidR="00AE18F1">
        <w:rPr>
          <w:b/>
          <w:bCs/>
          <w:sz w:val="44"/>
          <w:szCs w:val="44"/>
        </w:rPr>
        <w:t>Exploratory Purposes</w:t>
      </w:r>
    </w:p>
    <w:p w14:paraId="2C880B32" w14:textId="08217EDA" w:rsidR="0051193F" w:rsidRPr="00C87DF0" w:rsidRDefault="00F615B8" w:rsidP="00C87DF0">
      <w:pPr>
        <w:spacing w:after="0"/>
        <w:jc w:val="center"/>
        <w:rPr>
          <w:sz w:val="44"/>
          <w:szCs w:val="44"/>
        </w:rPr>
      </w:pPr>
      <w:r w:rsidRPr="00C87DF0">
        <w:rPr>
          <w:b/>
          <w:bCs/>
          <w:sz w:val="44"/>
          <w:szCs w:val="44"/>
        </w:rPr>
        <w:t>Customer Service Occupations</w:t>
      </w:r>
    </w:p>
    <w:p w14:paraId="7A224145" w14:textId="7BEFB6D2" w:rsidR="0051193F" w:rsidRPr="00C87DF0" w:rsidRDefault="00F615B8" w:rsidP="00C87DF0">
      <w:pPr>
        <w:spacing w:after="0"/>
        <w:jc w:val="center"/>
        <w:rPr>
          <w:sz w:val="44"/>
          <w:szCs w:val="44"/>
        </w:rPr>
      </w:pPr>
      <w:r w:rsidRPr="00C87DF0">
        <w:rPr>
          <w:b/>
          <w:bCs/>
          <w:sz w:val="44"/>
          <w:szCs w:val="44"/>
        </w:rPr>
        <w:t xml:space="preserve">Silicon Valley </w:t>
      </w:r>
      <w:r w:rsidR="00C63D15">
        <w:rPr>
          <w:b/>
          <w:bCs/>
          <w:sz w:val="44"/>
          <w:szCs w:val="44"/>
        </w:rPr>
        <w:t>Subregion</w:t>
      </w:r>
    </w:p>
    <w:p w14:paraId="0F2EF88B" w14:textId="77777777" w:rsidR="0051193F" w:rsidRDefault="00F615B8" w:rsidP="00C87DF0">
      <w:pPr>
        <w:pStyle w:val="Heading2"/>
        <w:jc w:val="center"/>
      </w:pPr>
      <w:bookmarkStart w:id="0" w:name="Xb7f912360d5d5c7e29f315d22f0a3bf70594e0a"/>
      <w:r>
        <w:t>Prepared by the Bay Region Center of Excellence for Labor Market Research</w:t>
      </w:r>
    </w:p>
    <w:p w14:paraId="1801A55F" w14:textId="77777777" w:rsidR="0051193F" w:rsidRDefault="00F615B8" w:rsidP="00C87DF0">
      <w:pPr>
        <w:pStyle w:val="Heading2"/>
        <w:jc w:val="center"/>
      </w:pPr>
      <w:bookmarkStart w:id="1" w:name="september-2025"/>
      <w:bookmarkEnd w:id="0"/>
      <w:r>
        <w:t>September 2025</w:t>
      </w:r>
    </w:p>
    <w:p w14:paraId="1231DBD2" w14:textId="77777777" w:rsidR="0051193F" w:rsidRDefault="00F615B8" w:rsidP="00C87DF0">
      <w:pPr>
        <w:pStyle w:val="Heading2"/>
        <w:spacing w:before="0" w:line="360" w:lineRule="auto"/>
      </w:pPr>
      <w:bookmarkStart w:id="2" w:name="recommendation"/>
      <w:bookmarkEnd w:id="1"/>
      <w:r>
        <w:t>Recommendation</w:t>
      </w:r>
    </w:p>
    <w:p w14:paraId="1DCAC482" w14:textId="33A48EF4" w:rsidR="0051193F" w:rsidRDefault="00F615B8">
      <w:r>
        <w:t xml:space="preserve">Based on all available data, there appears to be an “undersupply” of Customer Service workers compared to the demand for this cluster of occupations in the Bay Region and in the Silicon Valley </w:t>
      </w:r>
      <w:r w:rsidR="00C63D15">
        <w:t>Subregion</w:t>
      </w:r>
      <w:r>
        <w:t xml:space="preserve"> (Santa Clara </w:t>
      </w:r>
      <w:r w:rsidR="00AE18F1">
        <w:t>County</w:t>
      </w:r>
      <w:r>
        <w:t xml:space="preserve">). There is a projected annual gap of about </w:t>
      </w:r>
      <w:r w:rsidR="00232A17">
        <w:t xml:space="preserve">38,867 </w:t>
      </w:r>
      <w:r>
        <w:t xml:space="preserve">students in the Bay Region and 9,440 students in the Silicon Valley </w:t>
      </w:r>
      <w:r w:rsidR="00C63D15">
        <w:t>Subregion</w:t>
      </w:r>
      <w:r>
        <w:t>.</w:t>
      </w:r>
    </w:p>
    <w:p w14:paraId="06E17211" w14:textId="77777777" w:rsidR="0051193F" w:rsidRDefault="00F615B8" w:rsidP="00C87DF0">
      <w:pPr>
        <w:pStyle w:val="Heading2"/>
        <w:spacing w:before="0" w:line="360" w:lineRule="auto"/>
      </w:pPr>
      <w:bookmarkStart w:id="3" w:name="introduction"/>
      <w:bookmarkEnd w:id="2"/>
      <w:r>
        <w:t>Introduction</w:t>
      </w:r>
    </w:p>
    <w:p w14:paraId="11E1AA8E" w14:textId="68F7B05B" w:rsidR="0051193F" w:rsidRDefault="00F615B8">
      <w:r>
        <w:t xml:space="preserve">This report provides student outcomes data on employment and earnings for TOP 1301.10 - Consumer Services programs in the state and region. It is recommended that </w:t>
      </w:r>
      <w:r w:rsidR="004A2A83">
        <w:t>this</w:t>
      </w:r>
      <w:r>
        <w:t xml:space="preserve"> data be reviewed to better understand how outcomes for students taking courses on this TOP code compare to potentially similar programs at </w:t>
      </w:r>
      <w:r w:rsidR="00C63D15">
        <w:t>Subregion</w:t>
      </w:r>
      <w:r>
        <w:t xml:space="preserve"> in the state and region.</w:t>
      </w:r>
    </w:p>
    <w:p w14:paraId="7C2902AE" w14:textId="659877C8" w:rsidR="0051193F" w:rsidRDefault="00F615B8">
      <w:r>
        <w:t xml:space="preserve">This report includes occupations with </w:t>
      </w:r>
      <w:r w:rsidR="00AE18F1">
        <w:t>two</w:t>
      </w:r>
      <w:r>
        <w:t xml:space="preserve"> different skill levels. The occupations classified as below </w:t>
      </w:r>
      <w:proofErr w:type="gramStart"/>
      <w:r>
        <w:t>middle-skill</w:t>
      </w:r>
      <w:proofErr w:type="gramEnd"/>
      <w:r>
        <w:t xml:space="preserve"> typically require a high school diploma or equivalent. </w:t>
      </w:r>
      <w:r w:rsidR="00AE18F1">
        <w:t xml:space="preserve">In contrast, </w:t>
      </w:r>
      <w:r w:rsidR="000F1F82">
        <w:t>m</w:t>
      </w:r>
      <w:r>
        <w:t xml:space="preserve">iddle-skill occupations </w:t>
      </w:r>
      <w:r w:rsidR="000F1F82">
        <w:t xml:space="preserve">that </w:t>
      </w:r>
      <w:r>
        <w:t xml:space="preserve">require a certificate, or an associate degree, or it may require a bachelor’s degree, but 33% or fewer of current workers in these roles hold one. </w:t>
      </w:r>
      <w:r w:rsidR="000F1F82">
        <w:t xml:space="preserve"> </w:t>
      </w:r>
      <w:r>
        <w:t>This report profiles</w:t>
      </w:r>
      <w:r w:rsidR="00AE18F1">
        <w:t xml:space="preserve"> </w:t>
      </w:r>
      <w:r>
        <w:t>Customer Service Occupations in the 12</w:t>
      </w:r>
      <w:r w:rsidR="004A2A83">
        <w:t>-</w:t>
      </w:r>
      <w:r>
        <w:t xml:space="preserve">county Bay Region and in the Silicon Valley </w:t>
      </w:r>
      <w:r w:rsidR="00C63D15">
        <w:t>Subregion</w:t>
      </w:r>
      <w:r>
        <w:t>.</w:t>
      </w:r>
    </w:p>
    <w:p w14:paraId="4C58C64B" w14:textId="77777777" w:rsidR="0051193F" w:rsidRDefault="00F615B8">
      <w:pPr>
        <w:numPr>
          <w:ilvl w:val="0"/>
          <w:numId w:val="17"/>
        </w:numPr>
      </w:pPr>
      <w:r>
        <w:rPr>
          <w:b/>
          <w:bCs/>
        </w:rPr>
        <w:t>Fast Food and Counter Workers (35-3023):</w:t>
      </w:r>
      <w:r>
        <w:t xml:space="preserve"> Perform duties such as taking orders and serving food and beverages. Serve customers at counter or from a steam table. May take payment. May prepare food and beverages.</w:t>
      </w:r>
      <w:r>
        <w:br/>
        <w:t>  Typical Entry-Level Educational: No formal educational credential</w:t>
      </w:r>
      <w:r>
        <w:br/>
        <w:t>  Skill Level: Below Middle-Skill</w:t>
      </w:r>
      <w:r>
        <w:br/>
        <w:t>  Work Experience Required: None</w:t>
      </w:r>
      <w:r>
        <w:br/>
        <w:t>  Percentage of individuals 25+ with an associate degree, certificate, or some postsecondary coursework as their highest level of education attainment: 34%</w:t>
      </w:r>
    </w:p>
    <w:p w14:paraId="04BC1978" w14:textId="77777777" w:rsidR="0051193F" w:rsidRDefault="00F615B8">
      <w:pPr>
        <w:numPr>
          <w:ilvl w:val="0"/>
          <w:numId w:val="17"/>
        </w:numPr>
      </w:pPr>
      <w:r>
        <w:rPr>
          <w:b/>
          <w:bCs/>
        </w:rPr>
        <w:t>Dining Room and Cafeteria Attendants and Bartender Helpers (35-9011):</w:t>
      </w:r>
      <w:r>
        <w:t xml:space="preserve"> Facilitate food service. Clean tables; remove dirty dishes; replace soiled table linens; set tables; replenish supply of clean linens, silverware, glassware, and dishes; supply service bar with food; and serve items such as water, condiments, and coffee to patrons.</w:t>
      </w:r>
      <w:r>
        <w:br/>
        <w:t>  Typical Entry-Level Educational: No formal educational credential</w:t>
      </w:r>
      <w:r>
        <w:br/>
        <w:t>  Skill Level: Below Middle-Skill</w:t>
      </w:r>
      <w:r>
        <w:br/>
        <w:t>  Work Experience Required: None</w:t>
      </w:r>
      <w:r>
        <w:br/>
        <w:t>  Percentage of individuals 25+ with an associate degree, certificate, or some postsecondary coursework as their highest level of education attainment: 27%</w:t>
      </w:r>
    </w:p>
    <w:p w14:paraId="3F29CB7D" w14:textId="77777777" w:rsidR="0051193F" w:rsidRDefault="00F615B8">
      <w:pPr>
        <w:numPr>
          <w:ilvl w:val="0"/>
          <w:numId w:val="17"/>
        </w:numPr>
      </w:pPr>
      <w:r>
        <w:rPr>
          <w:b/>
          <w:bCs/>
        </w:rPr>
        <w:t>Sales and Related Workers, All Other (41-9099):</w:t>
      </w:r>
      <w:r>
        <w:t xml:space="preserve"> All sales and related workers not listed separately.</w:t>
      </w:r>
      <w:r>
        <w:br/>
        <w:t>  Typical Entry-Level Educational: High school diploma or equivalent</w:t>
      </w:r>
      <w:r>
        <w:br/>
      </w:r>
      <w:r>
        <w:lastRenderedPageBreak/>
        <w:t>  Skill Level: Middle-Skill</w:t>
      </w:r>
      <w:r>
        <w:br/>
        <w:t>  Work Experience Required: None</w:t>
      </w:r>
      <w:r>
        <w:br/>
        <w:t>  Percentage of individuals 25+ with an associate degree, certificate, or some postsecondary coursework as their highest level of education attainment: 30%</w:t>
      </w:r>
    </w:p>
    <w:p w14:paraId="41704B68" w14:textId="77777777" w:rsidR="0051193F" w:rsidRDefault="00F615B8">
      <w:pPr>
        <w:numPr>
          <w:ilvl w:val="0"/>
          <w:numId w:val="17"/>
        </w:numPr>
      </w:pPr>
      <w:r>
        <w:rPr>
          <w:b/>
          <w:bCs/>
        </w:rPr>
        <w:t>Customer Service Representatives (43-4051):</w:t>
      </w:r>
      <w:r>
        <w:t xml:space="preserve"> Interact with customers to provide basic or scripted information in response to routine inquiries about products and services. May handle and resolve general complaints. Excludes individuals whose duties are primarily installation, sales, repair, and technical support.</w:t>
      </w:r>
      <w:r>
        <w:br/>
        <w:t>  Typical Entry-Level Educational: High school diploma or equivalent</w:t>
      </w:r>
      <w:r>
        <w:br/>
        <w:t>  Skill Level: Middle-Skill</w:t>
      </w:r>
      <w:r>
        <w:br/>
        <w:t>  Work Experience Required: None</w:t>
      </w:r>
      <w:r>
        <w:br/>
        <w:t>  Percentage of individuals 25+ with an associate degree, certificate, or some postsecondary coursework as their highest level of education attainment: 42%</w:t>
      </w:r>
    </w:p>
    <w:p w14:paraId="0C09BC30" w14:textId="77777777" w:rsidR="0051193F" w:rsidRDefault="00F615B8">
      <w:pPr>
        <w:numPr>
          <w:ilvl w:val="0"/>
          <w:numId w:val="17"/>
        </w:numPr>
      </w:pPr>
      <w:r>
        <w:rPr>
          <w:b/>
          <w:bCs/>
        </w:rPr>
        <w:t>Office Clerks, General (43-9061):</w:t>
      </w:r>
      <w:r>
        <w:t xml:space="preserve"> Perform duties too varied and diverse to be classified in any specific office clerical occupation, requiring knowledge of office systems and procedures. Clerical duties may be assigned in accordance with the office procedures of individual establishments and may include a combination of answering telephones, bookkeeping, typing or word processing, office machine operation, and filing.</w:t>
      </w:r>
      <w:r>
        <w:br/>
        <w:t>  Typical Entry-Level Educational: High school diploma or equivalent</w:t>
      </w:r>
      <w:r>
        <w:br/>
        <w:t>  Skill Level: Middle-Skill</w:t>
      </w:r>
      <w:r>
        <w:br/>
        <w:t>  Work Experience Required: None</w:t>
      </w:r>
      <w:r>
        <w:br/>
        <w:t>  Percentage of individuals 25+ with an associate degree, certificate, or some postsecondary coursework as their highest level of education attainment: 44%</w:t>
      </w:r>
    </w:p>
    <w:p w14:paraId="6C852406" w14:textId="77777777" w:rsidR="0051193F" w:rsidRDefault="00F615B8" w:rsidP="00C87DF0">
      <w:pPr>
        <w:pStyle w:val="Heading2"/>
        <w:spacing w:before="0" w:line="360" w:lineRule="auto"/>
      </w:pPr>
      <w:bookmarkStart w:id="4" w:name="occupational-demand"/>
      <w:bookmarkEnd w:id="3"/>
      <w:r>
        <w:t>Occupational Demand</w:t>
      </w:r>
    </w:p>
    <w:p w14:paraId="4AC3E8EC" w14:textId="7EAF39FD" w:rsidR="0051193F" w:rsidRDefault="00F615B8">
      <w:r>
        <w:rPr>
          <w:b/>
          <w:bCs/>
        </w:rPr>
        <w:t>Table 1. Employment Outlook for Customer Service Occupations in the Bay Region</w:t>
      </w:r>
    </w:p>
    <w:tbl>
      <w:tblPr>
        <w:tblW w:w="0" w:type="pct"/>
        <w:tblLook w:val="0420" w:firstRow="1" w:lastRow="0" w:firstColumn="0" w:lastColumn="0" w:noHBand="0" w:noVBand="1"/>
      </w:tblPr>
      <w:tblGrid>
        <w:gridCol w:w="2212"/>
        <w:gridCol w:w="812"/>
        <w:gridCol w:w="812"/>
        <w:gridCol w:w="963"/>
        <w:gridCol w:w="1023"/>
        <w:gridCol w:w="1254"/>
        <w:gridCol w:w="1208"/>
        <w:gridCol w:w="1025"/>
        <w:gridCol w:w="1131"/>
      </w:tblGrid>
      <w:tr w:rsidR="0051193F" w14:paraId="4E24E350" w14:textId="77777777" w:rsidTr="00AE18F1">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CB918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49BDD0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A7B840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F85C22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975834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C39BDA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E2D12A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2321F1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Wage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7DF574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51193F" w14:paraId="66B1FEBD" w14:textId="77777777" w:rsidTr="00AE18F1">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3152B2"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Fast Food and Counter Workers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3E6051"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85,909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01BB66"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90,444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7F05D5" w14:textId="0DBF7E11"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4,536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0F84A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621248"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104,563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640C6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20,913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3D9B3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799E12"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r>
      <w:tr w:rsidR="0051193F" w14:paraId="696225A2" w14:textId="77777777" w:rsidTr="00AE18F1">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868F92"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Dining Room and Cafeteria Attendants and Bartender Helpers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3EB7F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17,269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2570F3"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18,219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6B06C5"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950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EFB45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E75D34"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17,381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EF72A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3,476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0F2811"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81107B"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r>
      <w:tr w:rsidR="0051193F" w14:paraId="58D063DF" w14:textId="77777777" w:rsidTr="00AE18F1">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4AA7B7"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Sales and Related Workers, All 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111EF3"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9,547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DD39B4"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9,074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FB77A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-473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2ACDB0"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21A85C" w14:textId="05444F24"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6,056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44BFF1"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845751"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16A54E"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w:t>
            </w:r>
          </w:p>
        </w:tc>
      </w:tr>
      <w:tr w:rsidR="0051193F" w14:paraId="5D686662" w14:textId="77777777" w:rsidTr="00AE18F1">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94473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Customer Service Representatives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7DD836"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41,184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DC5C6C"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41,721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D255AE" w14:textId="17CF6793"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538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2DC1C3"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6F2F9B"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28,968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821804"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5,794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E00899"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B6C9CB"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w:t>
            </w:r>
          </w:p>
        </w:tc>
      </w:tr>
      <w:tr w:rsidR="0051193F" w14:paraId="4567DA97" w14:textId="77777777" w:rsidTr="00AE18F1">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2C9E56"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Office Clerks, General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C30FD4"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62,322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42EF8A"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61,891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EC4B77" w14:textId="38A1749D"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17CEE7"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693003"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37,367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63B07E"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7,473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769D9A"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88EFE4"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w:t>
            </w:r>
          </w:p>
        </w:tc>
      </w:tr>
      <w:tr w:rsidR="0051193F" w14:paraId="294CA037" w14:textId="77777777" w:rsidTr="00AE18F1">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39A7C0"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E542E0"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216,231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4341DA" w14:textId="7DC5FC6F"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221,349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41FDB1" w14:textId="17BF49E0"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w:t>
            </w:r>
            <w:r w:rsidR="00690D3F">
              <w:rPr>
                <w:rFonts w:eastAsia="Tw Cen MT" w:cs="Tw Cen MT"/>
                <w:b/>
                <w:sz w:val="21"/>
                <w:szCs w:val="21"/>
              </w:rPr>
              <w:t>12</w:t>
            </w:r>
            <w:r w:rsidR="00AE18F1">
              <w:rPr>
                <w:rFonts w:eastAsia="Tw Cen MT" w:cs="Tw Cen MT"/>
                <w:b/>
                <w:sz w:val="21"/>
                <w:szCs w:val="21"/>
              </w:rPr>
              <w:t>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AE63AA"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324DF8"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194,335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E5FB6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38,867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EBB116"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F551B6"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$21</w:t>
            </w:r>
          </w:p>
        </w:tc>
      </w:tr>
      <w:tr w:rsidR="0051193F" w14:paraId="6F7B6823" w14:textId="77777777" w:rsidTr="00AE18F1">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BAB2370"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w:t>
            </w:r>
          </w:p>
        </w:tc>
      </w:tr>
      <w:tr w:rsidR="0051193F" w14:paraId="5D27EB5D" w14:textId="77777777" w:rsidTr="00AE18F1">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C56E8A5" w14:textId="77777777" w:rsidR="0051193F" w:rsidRDefault="00F615B8" w:rsidP="00C87DF0">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 xml:space="preserve">The Bay Region </w:t>
            </w:r>
            <w:proofErr w:type="gramStart"/>
            <w:r>
              <w:rPr>
                <w:rFonts w:eastAsia="Tw Cen MT" w:cs="Tw Cen MT"/>
                <w:sz w:val="20"/>
                <w:szCs w:val="20"/>
              </w:rPr>
              <w:t>includes:</w:t>
            </w:r>
            <w:proofErr w:type="gramEnd"/>
            <w:r>
              <w:rPr>
                <w:rFonts w:eastAsia="Tw Cen MT" w:cs="Tw Cen MT"/>
                <w:sz w:val="20"/>
                <w:szCs w:val="20"/>
              </w:rPr>
              <w:t xml:space="preserve"> Alameda, Contra Costa, Marin, Monterey, Napa, San Benito, San Francisco, San Mateo, Santa Clara, Santa Cruz, Solano and Sonoma Counties</w:t>
            </w:r>
          </w:p>
        </w:tc>
      </w:tr>
    </w:tbl>
    <w:p w14:paraId="0BACAD72" w14:textId="77777777" w:rsidR="00690D3F" w:rsidRDefault="00690D3F">
      <w:pPr>
        <w:rPr>
          <w:b/>
          <w:bCs/>
        </w:rPr>
      </w:pPr>
    </w:p>
    <w:p w14:paraId="5F7D3E80" w14:textId="30AFEB4B" w:rsidR="0051193F" w:rsidRDefault="00F615B8">
      <w:r>
        <w:rPr>
          <w:b/>
          <w:bCs/>
        </w:rPr>
        <w:t xml:space="preserve">Table 2. Employment Outlook for Customer Service Occupations in the Silicon Valley </w:t>
      </w:r>
      <w:r w:rsidR="00C63D15">
        <w:rPr>
          <w:b/>
          <w:bCs/>
        </w:rPr>
        <w:t>Subregion</w:t>
      </w:r>
    </w:p>
    <w:tbl>
      <w:tblPr>
        <w:tblW w:w="0" w:type="pct"/>
        <w:tblLook w:val="0420" w:firstRow="1" w:lastRow="0" w:firstColumn="0" w:lastColumn="0" w:noHBand="0" w:noVBand="1"/>
      </w:tblPr>
      <w:tblGrid>
        <w:gridCol w:w="2259"/>
        <w:gridCol w:w="758"/>
        <w:gridCol w:w="758"/>
        <w:gridCol w:w="968"/>
        <w:gridCol w:w="1031"/>
        <w:gridCol w:w="1265"/>
        <w:gridCol w:w="1217"/>
        <w:gridCol w:w="1038"/>
        <w:gridCol w:w="1146"/>
      </w:tblGrid>
      <w:tr w:rsidR="0051193F" w14:paraId="0D66AA76"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2D3AE0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DC85A9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A4781E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450811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F7461C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ED92CF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C9F202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FA14DE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Wage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A35CF8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51193F" w14:paraId="6907925E"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A62A7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Fast Food and Counter Workers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B8CB0A"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20,059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51F901"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21,291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CA61F2" w14:textId="3511774E"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1,233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1C5EC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6DA8C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24,629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F1A181"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4,926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CDB451"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8B7B58"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r>
      <w:tr w:rsidR="0051193F" w14:paraId="6652043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871137"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lastRenderedPageBreak/>
              <w:t>Dining Room and Cafeteria Attendants and Bartender Helpers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AC487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4,271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65D79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4,572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0DE47A" w14:textId="0E297F19"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02DD82"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F89F1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4,391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FD020B"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878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43FFB2"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B4FCC6"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r>
      <w:tr w:rsidR="0051193F" w14:paraId="06D3A47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797D93"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Sales and Related Workers, All 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D357A8"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2,402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D68732"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0D67B8"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5106E4"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8214D9"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668F45"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298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92F3A7"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9A203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w:t>
            </w:r>
          </w:p>
        </w:tc>
      </w:tr>
      <w:tr w:rsidR="0051193F" w14:paraId="7714E97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586CA1"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Customer Service Representatives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4C0D57"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9,666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A8ACE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10,541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FF0505" w14:textId="2D79033C"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70737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0BB172"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7,736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A321E0"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5788C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283F65"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w:t>
            </w:r>
          </w:p>
        </w:tc>
      </w:tr>
      <w:tr w:rsidR="0051193F" w14:paraId="349BF28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4E84E0"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Office Clerks, General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4C7A2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14,613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F8642B"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14,790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27B2A5"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FD226E"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1EC289"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8,956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19BCE3"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70365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E28F2F"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w:t>
            </w:r>
          </w:p>
        </w:tc>
      </w:tr>
      <w:tr w:rsidR="0051193F" w14:paraId="33A664FF"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B36FC4"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D3ACC9"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51,011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987B28"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53,417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B962BB" w14:textId="30378A34"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2,40</w:t>
            </w:r>
            <w:r w:rsidR="00AE18F1">
              <w:rPr>
                <w:rFonts w:eastAsia="Tw Cen MT" w:cs="Tw Cen MT"/>
                <w:b/>
                <w:sz w:val="21"/>
                <w:szCs w:val="21"/>
              </w:rPr>
              <w:t>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0D786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D1B4EE"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47,202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16E54D"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9,440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67A8D2"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C43EB4"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$22</w:t>
            </w:r>
          </w:p>
        </w:tc>
      </w:tr>
      <w:tr w:rsidR="0051193F" w14:paraId="0E851C09"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17D49CE"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w:t>
            </w:r>
          </w:p>
        </w:tc>
      </w:tr>
      <w:tr w:rsidR="0051193F" w:rsidRPr="005964BC" w14:paraId="168DF9CD"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3914197" w14:textId="5DBDAD07" w:rsidR="0051193F" w:rsidRPr="00C63D15"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rPr>
                <w:lang w:val="es-ES"/>
              </w:rPr>
            </w:pPr>
            <w:r w:rsidRPr="00C63D15">
              <w:rPr>
                <w:rFonts w:eastAsia="Tw Cen MT" w:cs="Tw Cen MT"/>
                <w:sz w:val="20"/>
                <w:szCs w:val="20"/>
                <w:lang w:val="es-ES"/>
              </w:rPr>
              <w:t xml:space="preserve">Silicon Valley </w:t>
            </w:r>
            <w:r w:rsidR="00C63D15" w:rsidRPr="00C63D15">
              <w:rPr>
                <w:rFonts w:eastAsia="Tw Cen MT" w:cs="Tw Cen MT"/>
                <w:sz w:val="20"/>
                <w:szCs w:val="20"/>
                <w:lang w:val="es-ES"/>
              </w:rPr>
              <w:t>Subregion</w:t>
            </w:r>
            <w:r w:rsidRPr="00C63D15">
              <w:rPr>
                <w:rFonts w:eastAsia="Tw Cen MT" w:cs="Tw Cen MT"/>
                <w:sz w:val="20"/>
                <w:szCs w:val="20"/>
                <w:lang w:val="es-ES"/>
              </w:rPr>
              <w:t xml:space="preserve"> includes: Santa Clara Cou</w:t>
            </w:r>
            <w:r w:rsidR="00AE18F1">
              <w:rPr>
                <w:rFonts w:eastAsia="Tw Cen MT" w:cs="Tw Cen MT"/>
                <w:sz w:val="20"/>
                <w:szCs w:val="20"/>
                <w:lang w:val="es-ES"/>
              </w:rPr>
              <w:t>nty</w:t>
            </w:r>
          </w:p>
        </w:tc>
      </w:tr>
    </w:tbl>
    <w:p w14:paraId="359DC97A" w14:textId="77777777" w:rsidR="00690D3F" w:rsidRPr="005964BC" w:rsidRDefault="00690D3F" w:rsidP="00C87DF0">
      <w:pPr>
        <w:pStyle w:val="Heading3"/>
        <w:spacing w:before="0" w:line="360" w:lineRule="auto"/>
        <w:rPr>
          <w:lang w:val="es-ES"/>
        </w:rPr>
      </w:pPr>
      <w:bookmarkStart w:id="5" w:name="X2e3927683e530ea131ff80ecc0f4afa31f2f2dc"/>
    </w:p>
    <w:p w14:paraId="5FB4ECEF" w14:textId="5CE0C2CB" w:rsidR="0051193F" w:rsidRDefault="00F615B8" w:rsidP="00C87DF0">
      <w:pPr>
        <w:pStyle w:val="Heading3"/>
        <w:spacing w:before="0" w:line="360" w:lineRule="auto"/>
      </w:pPr>
      <w:r>
        <w:t xml:space="preserve">Job Postings in the Bay Region and Silicon Valley </w:t>
      </w:r>
      <w:r w:rsidR="00C63D15">
        <w:t>Subregion</w:t>
      </w:r>
    </w:p>
    <w:p w14:paraId="3AF28742" w14:textId="77777777" w:rsidR="0051193F" w:rsidRDefault="00F615B8">
      <w:r>
        <w:rPr>
          <w:b/>
          <w:bCs/>
        </w:rPr>
        <w:t xml:space="preserve">Table 3. Number of Job Postings by Occupation for the </w:t>
      </w:r>
      <w:proofErr w:type="gramStart"/>
      <w:r>
        <w:rPr>
          <w:b/>
          <w:bCs/>
        </w:rPr>
        <w:t>latest</w:t>
      </w:r>
      <w:proofErr w:type="gramEnd"/>
      <w:r>
        <w:rPr>
          <w:b/>
          <w:bCs/>
        </w:rPr>
        <w:t xml:space="preserve"> 12 months</w:t>
      </w:r>
    </w:p>
    <w:tbl>
      <w:tblPr>
        <w:tblW w:w="0" w:type="pct"/>
        <w:tblLook w:val="0420" w:firstRow="1" w:lastRow="0" w:firstColumn="0" w:lastColumn="0" w:noHBand="0" w:noVBand="1"/>
      </w:tblPr>
      <w:tblGrid>
        <w:gridCol w:w="5401"/>
        <w:gridCol w:w="1201"/>
        <w:gridCol w:w="1393"/>
      </w:tblGrid>
      <w:tr w:rsidR="0051193F" w14:paraId="25167B01"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3BC12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06E98C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DE8552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51193F" w14:paraId="34113F65"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7988B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Service Representatives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7DB20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12,123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23E4E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2,831</w:t>
            </w:r>
          </w:p>
        </w:tc>
      </w:tr>
      <w:tr w:rsidR="0051193F" w14:paraId="5B83663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B9D87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Fast Food and Counter Workers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B3023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8,677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6994E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1,982</w:t>
            </w:r>
          </w:p>
        </w:tc>
      </w:tr>
      <w:tr w:rsidR="0051193F" w14:paraId="6568FCD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F4700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Dining Room and Cafeteria Attendants and Bartender Helpers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7B34B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3,881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A1CE0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965</w:t>
            </w:r>
          </w:p>
        </w:tc>
      </w:tr>
      <w:tr w:rsidR="0051193F" w14:paraId="35CC358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B997D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and Related Workers, All 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028F4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1,249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3FB33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258</w:t>
            </w:r>
          </w:p>
        </w:tc>
      </w:tr>
      <w:tr w:rsidR="0051193F" w14:paraId="090B6AAE"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2F4ED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Office Clerks, General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F1830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3C581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145</w:t>
            </w:r>
          </w:p>
        </w:tc>
      </w:tr>
      <w:tr w:rsidR="0051193F" w14:paraId="59A23989" w14:textId="77777777">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085B46"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2025.2; “Job Posting Analytics.” Sep. 2024 - Aug. 2025</w:t>
            </w:r>
          </w:p>
        </w:tc>
      </w:tr>
    </w:tbl>
    <w:p w14:paraId="4CE59FA9" w14:textId="77777777" w:rsidR="00690D3F" w:rsidRDefault="00690D3F">
      <w:pPr>
        <w:rPr>
          <w:b/>
          <w:bCs/>
        </w:rPr>
      </w:pPr>
    </w:p>
    <w:p w14:paraId="3F8623F2" w14:textId="3A740419" w:rsidR="0051193F" w:rsidRDefault="00F615B8">
      <w:r>
        <w:rPr>
          <w:b/>
          <w:bCs/>
        </w:rPr>
        <w:t>Table 4a. Top Job Titles in Job Postings for Customer Service Occupations in the Bay Region</w:t>
      </w:r>
    </w:p>
    <w:tbl>
      <w:tblPr>
        <w:tblW w:w="0" w:type="pct"/>
        <w:tblLook w:val="0420" w:firstRow="1" w:lastRow="0" w:firstColumn="0" w:lastColumn="0" w:noHBand="0" w:noVBand="1"/>
      </w:tblPr>
      <w:tblGrid>
        <w:gridCol w:w="2996"/>
        <w:gridCol w:w="710"/>
        <w:gridCol w:w="2703"/>
        <w:gridCol w:w="548"/>
      </w:tblGrid>
      <w:tr w:rsidR="0051193F" w14:paraId="763BF8C5"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1DD95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C2719E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31950B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D3B47B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51193F" w14:paraId="560221E1"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C398F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Baristas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D0689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3,257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49447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Office Assistants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D5754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375</w:t>
            </w:r>
          </w:p>
        </w:tc>
      </w:tr>
      <w:tr w:rsidR="0051193F" w14:paraId="34148A5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DA87D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Service Representatives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99E11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5C88E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Baristas/Cashiers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FD723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314</w:t>
            </w:r>
          </w:p>
        </w:tc>
      </w:tr>
      <w:tr w:rsidR="0051193F" w14:paraId="4793F02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0B1E7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Team Members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9BA6C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846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5AC07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Service Cashiers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9685B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279</w:t>
            </w:r>
          </w:p>
        </w:tc>
      </w:tr>
      <w:tr w:rsidR="0051193F" w14:paraId="79972FA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70F6F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Service Associates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C0143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808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D34BD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 Store Shoppers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10EE6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269</w:t>
            </w:r>
          </w:p>
        </w:tc>
      </w:tr>
      <w:tr w:rsidR="0051193F" w14:paraId="2104252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0BD6A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Deli Associates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36E5D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1C37C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Client Service Representatives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94C2D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244</w:t>
            </w:r>
          </w:p>
        </w:tc>
      </w:tr>
      <w:tr w:rsidR="0051193F" w14:paraId="71CD939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12EC1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Food Service Workers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F8FA4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A6B5F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Assistants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A05AF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198</w:t>
            </w:r>
          </w:p>
        </w:tc>
      </w:tr>
      <w:tr w:rsidR="0051193F" w14:paraId="6C73F9E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A3B8A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Bussers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EF024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375F7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Member Champions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574EB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197</w:t>
            </w:r>
          </w:p>
        </w:tc>
      </w:tr>
      <w:tr w:rsidR="0051193F" w14:paraId="7B24A34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4705E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Service Advisors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BB74C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7B865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Catering Attendants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DD196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187</w:t>
            </w:r>
          </w:p>
        </w:tc>
      </w:tr>
      <w:tr w:rsidR="0051193F" w14:paraId="614EB524"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98448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Crew Members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8A3E1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7C0D8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Client Service Associates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1F0D5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182</w:t>
            </w:r>
          </w:p>
        </w:tc>
      </w:tr>
      <w:tr w:rsidR="0051193F" w14:paraId="33CDA7E8"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3880251"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2025.2; “Job Posting Analytics.” Sep. 2024 - Aug. 2025</w:t>
            </w:r>
          </w:p>
        </w:tc>
      </w:tr>
    </w:tbl>
    <w:p w14:paraId="595EFA2A" w14:textId="77777777" w:rsidR="00690D3F" w:rsidRDefault="00690D3F">
      <w:pPr>
        <w:rPr>
          <w:b/>
          <w:bCs/>
        </w:rPr>
      </w:pPr>
    </w:p>
    <w:p w14:paraId="73AF37E2" w14:textId="1897DA58" w:rsidR="0051193F" w:rsidRDefault="00F615B8">
      <w:r>
        <w:rPr>
          <w:b/>
          <w:bCs/>
        </w:rPr>
        <w:lastRenderedPageBreak/>
        <w:t xml:space="preserve">Table 4b. Top Job Titles in Job Posting for Customer Service Occupations in the Silicon Valley </w:t>
      </w:r>
      <w:r w:rsidR="00C63D15">
        <w:rPr>
          <w:b/>
          <w:bCs/>
        </w:rPr>
        <w:t>Subregion</w:t>
      </w:r>
    </w:p>
    <w:tbl>
      <w:tblPr>
        <w:tblW w:w="0" w:type="pct"/>
        <w:tblLook w:val="0420" w:firstRow="1" w:lastRow="0" w:firstColumn="0" w:lastColumn="0" w:noHBand="0" w:noVBand="1"/>
      </w:tblPr>
      <w:tblGrid>
        <w:gridCol w:w="2996"/>
        <w:gridCol w:w="1393"/>
        <w:gridCol w:w="2703"/>
        <w:gridCol w:w="1393"/>
      </w:tblGrid>
      <w:tr w:rsidR="0051193F" w14:paraId="36874E3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FFD9A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4EB65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BB6D29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FB8FB2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51193F" w14:paraId="69C391EB"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D0B8B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Baristas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4C61A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4A739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Catering Attendants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407B3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w:t>
            </w:r>
          </w:p>
        </w:tc>
      </w:tr>
      <w:tr w:rsidR="0051193F" w14:paraId="5854B98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C1D34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Service Representatives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D2AAF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F4FE8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Client Service Representatives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D62BA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71</w:t>
            </w:r>
          </w:p>
        </w:tc>
      </w:tr>
      <w:tr w:rsidR="0051193F" w14:paraId="6B23F98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5F059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Team Members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65D0C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08916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Baristas/Cashiers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C008F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w:t>
            </w:r>
          </w:p>
        </w:tc>
      </w:tr>
      <w:tr w:rsidR="0051193F" w14:paraId="4C7B519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291AD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Service Associates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F89AA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52CB7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Office Assistants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55892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w:t>
            </w:r>
          </w:p>
        </w:tc>
      </w:tr>
      <w:tr w:rsidR="0051193F" w14:paraId="133CA6D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F7056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Food Service Workers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96DC3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8B12B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Client Service Associates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5A676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55</w:t>
            </w:r>
          </w:p>
        </w:tc>
      </w:tr>
      <w:tr w:rsidR="0051193F" w14:paraId="48447A8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D86AB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Service Advisors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825FD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A4B7B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Service Cashiers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29C3A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w:t>
            </w:r>
          </w:p>
        </w:tc>
      </w:tr>
      <w:tr w:rsidR="0051193F" w14:paraId="62F69DD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1E174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Bussers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6F4D5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F6E0F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 Store Shoppers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204B5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w:t>
            </w:r>
          </w:p>
        </w:tc>
      </w:tr>
      <w:tr w:rsidR="0051193F" w14:paraId="41E9B7E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1165F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Crew Members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829FE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3D70E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Client Specialists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2238C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w:t>
            </w:r>
          </w:p>
        </w:tc>
      </w:tr>
      <w:tr w:rsidR="0051193F" w14:paraId="6886BD08"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4047C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Deli Associates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0E354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1E76B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Food Service Utilities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BC9AA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w:t>
            </w:r>
          </w:p>
        </w:tc>
      </w:tr>
      <w:tr w:rsidR="0051193F" w14:paraId="15397CB9"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40EC21D"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2025.2; “Job Posting Analytics.” Sep. 2024 - Aug. 2025</w:t>
            </w:r>
          </w:p>
        </w:tc>
      </w:tr>
    </w:tbl>
    <w:p w14:paraId="552FE563" w14:textId="77777777" w:rsidR="00690D3F" w:rsidRDefault="00690D3F" w:rsidP="00C87DF0">
      <w:pPr>
        <w:pStyle w:val="Heading2"/>
        <w:spacing w:before="0" w:line="360" w:lineRule="auto"/>
      </w:pPr>
      <w:bookmarkStart w:id="6" w:name="industry-concentration"/>
      <w:bookmarkEnd w:id="4"/>
      <w:bookmarkEnd w:id="5"/>
    </w:p>
    <w:p w14:paraId="597282CC" w14:textId="60165E63" w:rsidR="0051193F" w:rsidRDefault="00F615B8" w:rsidP="00C87DF0">
      <w:pPr>
        <w:pStyle w:val="Heading2"/>
        <w:spacing w:before="0" w:line="360" w:lineRule="auto"/>
      </w:pPr>
      <w:r>
        <w:t>Industry Concentration</w:t>
      </w:r>
    </w:p>
    <w:p w14:paraId="1910B1CA" w14:textId="52B0400E" w:rsidR="0051193F" w:rsidRDefault="00F615B8">
      <w:r>
        <w:rPr>
          <w:b/>
          <w:bCs/>
        </w:rPr>
        <w:t>Table 5. Industries Hiring for Customer Service Occupations in the Bay Region</w:t>
      </w:r>
    </w:p>
    <w:tbl>
      <w:tblPr>
        <w:tblW w:w="0" w:type="pct"/>
        <w:tblLook w:val="0420" w:firstRow="1" w:lastRow="0" w:firstColumn="0" w:lastColumn="0" w:noHBand="0" w:noVBand="1"/>
      </w:tblPr>
      <w:tblGrid>
        <w:gridCol w:w="3662"/>
        <w:gridCol w:w="1516"/>
        <w:gridCol w:w="1516"/>
        <w:gridCol w:w="1412"/>
        <w:gridCol w:w="2334"/>
      </w:tblGrid>
      <w:tr w:rsidR="0051193F" w14:paraId="53E3192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081588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D2D9A6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(2023)</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988D16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0D57B8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(2023-28)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8F115E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51193F" w14:paraId="7BDC5089"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4921A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Limited-Service Restaurants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9D8CE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50,873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33C72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54,946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6BC40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4D69A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r>
      <w:tr w:rsidR="0051193F" w14:paraId="185D769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0AA29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Snack and Nonalcoholic Beverage Bars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0D2AD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18,806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3150B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19,892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F2A22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43569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r>
      <w:tr w:rsidR="0051193F" w14:paraId="73BE759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9C086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Full-Service Restaurants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FB271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13,691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16943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14,946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41B29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6C31C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51193F" w14:paraId="4160172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B2DC1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B26E2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5,855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384AC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5,692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9A474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AD609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51193F" w14:paraId="2B29481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648B1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Supermarkets and Other Grocery (except Convenience) Stores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3877A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5,992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52FF0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0ECD0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DCF17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51193F" w14:paraId="5420D86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BF619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Food Service Contractors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1093E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4,078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071D4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5,165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F9DE5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D485E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51193F" w14:paraId="5EFF53B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1A2B0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Elementary and Secondary Schools (Local Government)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F175F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46ACE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4,472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646B5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76DCC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51193F" w14:paraId="4A0D43E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3A9D8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Corporate, Subsidiary, and Regional Managing Offices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B91D2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A133D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4,016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4EBFE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250A6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51193F" w14:paraId="6AB0024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F29BA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Colleges, Universities, and Professional Schools (State Government)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4A525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4603C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2,964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0B2B2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84474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51193F" w14:paraId="3C470F17"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55400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Colleges, Universities, and Professional Schools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872B2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2,377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8E8D4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2,689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CF5D3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37370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51193F" w14:paraId="53C72E1F"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D1AAF63"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2025.2</w:t>
            </w:r>
          </w:p>
        </w:tc>
      </w:tr>
    </w:tbl>
    <w:p w14:paraId="3EFD0484" w14:textId="77777777" w:rsidR="00690D3F" w:rsidRDefault="00690D3F">
      <w:pPr>
        <w:rPr>
          <w:b/>
          <w:bCs/>
        </w:rPr>
      </w:pPr>
    </w:p>
    <w:p w14:paraId="1B414E34" w14:textId="62DE0A5E" w:rsidR="0051193F" w:rsidRDefault="00F615B8">
      <w:r>
        <w:rPr>
          <w:b/>
          <w:bCs/>
        </w:rPr>
        <w:lastRenderedPageBreak/>
        <w:t xml:space="preserve">Table 6. Top Employers Posting Customer Service Occupations in the Bay Region and the Silicon Valley </w:t>
      </w:r>
      <w:r w:rsidR="00C63D15">
        <w:rPr>
          <w:b/>
          <w:bCs/>
        </w:rPr>
        <w:t>Subregion</w:t>
      </w:r>
    </w:p>
    <w:tbl>
      <w:tblPr>
        <w:tblW w:w="0" w:type="pct"/>
        <w:tblLook w:val="0420" w:firstRow="1" w:lastRow="0" w:firstColumn="0" w:lastColumn="0" w:noHBand="0" w:noVBand="1"/>
      </w:tblPr>
      <w:tblGrid>
        <w:gridCol w:w="1809"/>
        <w:gridCol w:w="830"/>
        <w:gridCol w:w="1809"/>
        <w:gridCol w:w="1629"/>
      </w:tblGrid>
      <w:tr w:rsidR="0051193F" w14:paraId="6B36C3BB"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61ECC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EC601A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D3A890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9A7F38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51193F" w14:paraId="596B398F"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FFCB8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Starbucks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2FD7C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1,637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75D00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Starbucks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BB45A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386</w:t>
            </w:r>
          </w:p>
        </w:tc>
      </w:tr>
      <w:tr w:rsidR="0051193F" w14:paraId="4913EF1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8BF76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Albertsons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9EAC5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47615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Compass Group</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6E789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183</w:t>
            </w:r>
          </w:p>
        </w:tc>
      </w:tr>
      <w:tr w:rsidR="0051193F" w14:paraId="33E3CBE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C77FA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Whole Foods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79C62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B453E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Whole Foods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03E7E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113</w:t>
            </w:r>
          </w:p>
        </w:tc>
      </w:tr>
      <w:tr w:rsidR="0051193F" w14:paraId="3611BFF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13227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Compass Group</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1EAB4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9E113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Albertsons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077B4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84</w:t>
            </w:r>
          </w:p>
        </w:tc>
      </w:tr>
      <w:tr w:rsidR="0051193F" w14:paraId="017B110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FD564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Chevron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E3671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F7996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Bon Appetit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C4E46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77</w:t>
            </w:r>
          </w:p>
        </w:tc>
      </w:tr>
      <w:tr w:rsidR="0051193F" w14:paraId="19A732A1"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49B3B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Safeway</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80D38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3F584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Robert Half</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2B6AA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w:t>
            </w:r>
          </w:p>
        </w:tc>
      </w:tr>
      <w:tr w:rsidR="0051193F" w14:paraId="55368ECF"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E4E198A"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2025.2; “Job Posting Analytics.” Sep. 2024 - Aug. 2025</w:t>
            </w:r>
          </w:p>
        </w:tc>
      </w:tr>
    </w:tbl>
    <w:p w14:paraId="19CB3428" w14:textId="77777777" w:rsidR="00690D3F" w:rsidRDefault="00690D3F" w:rsidP="00C87DF0">
      <w:pPr>
        <w:pStyle w:val="Heading2"/>
        <w:spacing w:before="0" w:line="360" w:lineRule="auto"/>
      </w:pPr>
      <w:bookmarkStart w:id="7" w:name="educational-supply"/>
      <w:bookmarkEnd w:id="6"/>
    </w:p>
    <w:p w14:paraId="29118693" w14:textId="4E75D723" w:rsidR="0051193F" w:rsidRDefault="00F615B8" w:rsidP="00C87DF0">
      <w:pPr>
        <w:pStyle w:val="Heading2"/>
        <w:spacing w:before="0" w:line="360" w:lineRule="auto"/>
      </w:pPr>
      <w:r>
        <w:t>Educational Supply</w:t>
      </w:r>
    </w:p>
    <w:p w14:paraId="2064740B" w14:textId="38A23899" w:rsidR="0051193F" w:rsidRDefault="00F615B8">
      <w:r>
        <w:t xml:space="preserve">There are </w:t>
      </w:r>
      <w:r w:rsidR="00AE18F1">
        <w:t xml:space="preserve">no </w:t>
      </w:r>
      <w:r w:rsidR="005964BC">
        <w:t>c</w:t>
      </w:r>
      <w:r>
        <w:t>ommunity colleges in the Bay Region issuing any</w:t>
      </w:r>
      <w:r w:rsidR="005964BC">
        <w:t xml:space="preserve"> </w:t>
      </w:r>
      <w:r>
        <w:t xml:space="preserve">awards on average annually (last 3 years ending 2023-24) on TOP 1301.10 - Consumer Services. </w:t>
      </w:r>
    </w:p>
    <w:p w14:paraId="48C49E24" w14:textId="70CCDCA5" w:rsidR="0051193F" w:rsidRDefault="00F615B8">
      <w:r>
        <w:t xml:space="preserve">There are </w:t>
      </w:r>
      <w:r w:rsidR="00AE18F1">
        <w:t>no</w:t>
      </w:r>
      <w:r>
        <w:t xml:space="preserve"> other CTE educational institutions in the Bay Region issuing </w:t>
      </w:r>
      <w:r w:rsidR="00547276">
        <w:t>any</w:t>
      </w:r>
      <w:r>
        <w:t xml:space="preserve"> awards on average annually (last 3 years ending 2022-23) on CIP 19.0403- Consumer Services and Advocacy</w:t>
      </w:r>
      <w:r w:rsidR="00547276">
        <w:t>.</w:t>
      </w:r>
      <w:r>
        <w:t xml:space="preserve"> </w:t>
      </w:r>
    </w:p>
    <w:p w14:paraId="0CAEEEF8" w14:textId="77777777" w:rsidR="0051193F" w:rsidRDefault="00F615B8">
      <w:pPr>
        <w:pStyle w:val="Heading2"/>
      </w:pPr>
      <w:bookmarkStart w:id="8" w:name="gap-analysis"/>
      <w:bookmarkEnd w:id="7"/>
      <w:r>
        <w:t>Gap Analysis</w:t>
      </w:r>
    </w:p>
    <w:p w14:paraId="2E12663A" w14:textId="20EEDB04" w:rsidR="0051193F" w:rsidRDefault="00F615B8">
      <w:r>
        <w:t xml:space="preserve">Based on the data included in this report, there is a labor market gap in the Bay Region with 38,867 annual openings for the Customer Service occupational cluster and </w:t>
      </w:r>
      <w:r w:rsidR="00AE18F1">
        <w:t>no</w:t>
      </w:r>
      <w:r w:rsidR="005964BC">
        <w:t xml:space="preserve"> </w:t>
      </w:r>
      <w:r>
        <w:t xml:space="preserve">annual (3-year average) awards for an annual undersupply of </w:t>
      </w:r>
      <w:r w:rsidR="00232A17">
        <w:t xml:space="preserve">38,867 </w:t>
      </w:r>
      <w:r>
        <w:t xml:space="preserve">students. In the Silicon Valley </w:t>
      </w:r>
      <w:r w:rsidR="00C63D15">
        <w:t>Subregion</w:t>
      </w:r>
      <w:r>
        <w:t xml:space="preserve">, there is also a gap with 9,440 annual openings and </w:t>
      </w:r>
      <w:r w:rsidR="00AE18F1">
        <w:t>no</w:t>
      </w:r>
      <w:r>
        <w:t xml:space="preserve"> annual (3-year average) awards for an annual undersupply of 9,440 students.</w:t>
      </w:r>
    </w:p>
    <w:p w14:paraId="12E89983" w14:textId="77777777" w:rsidR="0051193F" w:rsidRDefault="00F615B8" w:rsidP="00C87DF0">
      <w:pPr>
        <w:pStyle w:val="Heading2"/>
        <w:spacing w:before="0" w:line="360" w:lineRule="auto"/>
      </w:pPr>
      <w:bookmarkStart w:id="9" w:name="student-outcomes"/>
      <w:bookmarkEnd w:id="8"/>
      <w:r>
        <w:t>Student Outcomes</w:t>
      </w:r>
    </w:p>
    <w:p w14:paraId="0055F349" w14:textId="77777777" w:rsidR="0051193F" w:rsidRDefault="00F615B8">
      <w:r>
        <w:rPr>
          <w:b/>
          <w:bCs/>
        </w:rPr>
        <w:t>Table 8. Four Employment Outcomes Metrics for Students Who Took Courses on TOP 1301.10 - Consumer Services</w:t>
      </w:r>
    </w:p>
    <w:tbl>
      <w:tblPr>
        <w:tblW w:w="0" w:type="pct"/>
        <w:tblLook w:val="0420" w:firstRow="1" w:lastRow="0" w:firstColumn="0" w:lastColumn="0" w:noHBand="0" w:noVBand="1"/>
      </w:tblPr>
      <w:tblGrid>
        <w:gridCol w:w="4226"/>
        <w:gridCol w:w="1786"/>
        <w:gridCol w:w="1300"/>
        <w:gridCol w:w="1228"/>
        <w:gridCol w:w="1900"/>
      </w:tblGrid>
      <w:tr w:rsidR="0051193F" w14:paraId="33B497BA"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C62EFF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A9BC1C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465AD4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1301.10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BB49F3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1301.10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B4C931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 1301.10</w:t>
            </w:r>
          </w:p>
        </w:tc>
      </w:tr>
      <w:tr w:rsidR="0051193F" w14:paraId="102B7F3A"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2D8C6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6FBFA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18560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A8A3F4" w14:textId="33D0144E" w:rsidR="0051193F" w:rsidRDefault="00690D3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A6B2F0" w14:textId="7F0C1BED" w:rsidR="0051193F" w:rsidRDefault="00690D3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51193F" w14:paraId="028114C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BC85F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6C7A4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9AA62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$28,336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E58CF2" w14:textId="2B63634F" w:rsidR="0051193F" w:rsidRDefault="00690D3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5D0B22" w14:textId="5A17A84F" w:rsidR="0051193F" w:rsidRDefault="00690D3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51193F" w14:paraId="6DA8A37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07193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5E532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A8F4A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BEA3AE" w14:textId="7CE314D8" w:rsidR="0051193F" w:rsidRDefault="00690D3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9A0B19" w14:textId="7A10DD44" w:rsidR="0051193F" w:rsidRDefault="00690D3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51193F" w14:paraId="68234605"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93B67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CCC45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94D28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5CB912" w14:textId="1F3C1FDF" w:rsidR="0051193F" w:rsidRDefault="00690D3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34941F" w14:textId="62D78F37" w:rsidR="0051193F" w:rsidRDefault="00690D3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51193F" w14:paraId="012E9007"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C422913"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Launchboard Strong Workforce Program Median of 2018 to 2021.</w:t>
            </w:r>
          </w:p>
        </w:tc>
      </w:tr>
    </w:tbl>
    <w:p w14:paraId="57A5E84E" w14:textId="77777777" w:rsidR="00690D3F" w:rsidRDefault="00690D3F" w:rsidP="00C87DF0">
      <w:pPr>
        <w:pStyle w:val="Heading2"/>
        <w:spacing w:before="0" w:line="360" w:lineRule="auto"/>
      </w:pPr>
      <w:bookmarkStart w:id="10" w:name="skills-certifications-and-education"/>
      <w:bookmarkEnd w:id="9"/>
    </w:p>
    <w:p w14:paraId="72581303" w14:textId="2A609E4E" w:rsidR="0051193F" w:rsidRDefault="00F615B8" w:rsidP="00C87DF0">
      <w:pPr>
        <w:pStyle w:val="Heading2"/>
        <w:spacing w:before="0" w:line="360" w:lineRule="auto"/>
      </w:pPr>
      <w:r>
        <w:t>Skills, Certifications and Education</w:t>
      </w:r>
    </w:p>
    <w:p w14:paraId="37DE5C51" w14:textId="15AD71E3" w:rsidR="0051193F" w:rsidRDefault="00F615B8">
      <w:r>
        <w:rPr>
          <w:b/>
          <w:bCs/>
        </w:rPr>
        <w:t>Table 9. Top Skills in Job Postings for Customer Service Occupations in the Bay Region</w:t>
      </w:r>
    </w:p>
    <w:tbl>
      <w:tblPr>
        <w:tblW w:w="0" w:type="pct"/>
        <w:tblLook w:val="0420" w:firstRow="1" w:lastRow="0" w:firstColumn="0" w:lastColumn="0" w:noHBand="0" w:noVBand="1"/>
      </w:tblPr>
      <w:tblGrid>
        <w:gridCol w:w="2516"/>
        <w:gridCol w:w="845"/>
        <w:gridCol w:w="3178"/>
        <w:gridCol w:w="845"/>
      </w:tblGrid>
      <w:tr w:rsidR="0051193F" w14:paraId="6A093DBC"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88868F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lastRenderedPageBreak/>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42FA7E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348BFB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EF291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51193F" w14:paraId="32FD52DE"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924D5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Cash Handling</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AD8F4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3,778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5E185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General Mathematics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D9A0D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1,345</w:t>
            </w:r>
          </w:p>
        </w:tc>
      </w:tr>
      <w:tr w:rsidR="0051193F" w14:paraId="2E4FB14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60EFE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Cash Register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E0684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3,582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0D533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Food Preparation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3D721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1,322</w:t>
            </w:r>
          </w:p>
        </w:tc>
      </w:tr>
      <w:tr w:rsidR="0051193F" w14:paraId="51DAD38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50DC9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Food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2C5B7C"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BE85D4"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Knowledge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20F16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1,280</w:t>
            </w:r>
          </w:p>
        </w:tc>
      </w:tr>
      <w:tr w:rsidR="0051193F" w14:paraId="6D07FF3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F13E9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Food Safety </w:t>
            </w:r>
            <w:proofErr w:type="gramStart"/>
            <w:r>
              <w:rPr>
                <w:rFonts w:eastAsia="Tw Cen MT" w:cs="Tw Cen MT"/>
                <w:sz w:val="21"/>
                <w:szCs w:val="21"/>
              </w:rPr>
              <w:t>And</w:t>
            </w:r>
            <w:proofErr w:type="gramEnd"/>
            <w:r>
              <w:rPr>
                <w:rFonts w:eastAsia="Tw Cen MT" w:cs="Tw Cen MT"/>
                <w:sz w:val="21"/>
                <w:szCs w:val="21"/>
              </w:rPr>
              <w:t xml:space="preserve"> Sanitation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FB770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3,131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11522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Entry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88A3FD"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1,234</w:t>
            </w:r>
          </w:p>
        </w:tc>
      </w:tr>
      <w:tr w:rsidR="0051193F" w14:paraId="56F47E8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D7E1A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Restaurant Operation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F8FF3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2,539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63AD4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Relationship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FA935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1,203</w:t>
            </w:r>
          </w:p>
        </w:tc>
      </w:tr>
      <w:tr w:rsidR="0051193F" w14:paraId="607FF2F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A7B55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Merchandising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E5E8A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2,351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1B6BA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FD610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1,174</w:t>
            </w:r>
          </w:p>
        </w:tc>
      </w:tr>
      <w:tr w:rsidR="0051193F" w14:paraId="0A87D92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994BD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Collective Bargaining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FE797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1,686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86198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Point Of Sale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8E2757"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1,173</w:t>
            </w:r>
          </w:p>
        </w:tc>
      </w:tr>
      <w:tr w:rsidR="0051193F" w14:paraId="37653A1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A3390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Cooking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CFF61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21D3A8"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Call Center Experience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C1D06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1,105</w:t>
            </w:r>
          </w:p>
        </w:tc>
      </w:tr>
      <w:tr w:rsidR="0051193F" w14:paraId="063B3A3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71638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Inquiries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05466F"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1,409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6BCFD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Inventory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122C52"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1,099</w:t>
            </w:r>
          </w:p>
        </w:tc>
      </w:tr>
      <w:tr w:rsidR="0051193F" w14:paraId="538F40D7"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35A740"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Selling Techniques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5E1679"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1,373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90D9BA"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Deep Fryers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FD902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1,070</w:t>
            </w:r>
          </w:p>
        </w:tc>
      </w:tr>
      <w:tr w:rsidR="0051193F" w14:paraId="4BC94050"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9B765CD"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2025.2; “Job Posting Analytics.” Sep. 2024 - Aug. 2025</w:t>
            </w:r>
          </w:p>
        </w:tc>
      </w:tr>
    </w:tbl>
    <w:p w14:paraId="4A696CD9" w14:textId="77777777" w:rsidR="005964BC" w:rsidRDefault="005964BC">
      <w:pPr>
        <w:rPr>
          <w:b/>
          <w:bCs/>
        </w:rPr>
      </w:pPr>
    </w:p>
    <w:p w14:paraId="02B52AE9" w14:textId="37E795C5" w:rsidR="0051193F" w:rsidRDefault="00F615B8">
      <w:r>
        <w:rPr>
          <w:b/>
          <w:bCs/>
        </w:rPr>
        <w:t>Table 10. Certifications in Job Postings for Customer Service Occupations in the Bay Region</w:t>
      </w:r>
    </w:p>
    <w:tbl>
      <w:tblPr>
        <w:tblW w:w="4936" w:type="pct"/>
        <w:tblLook w:val="0420" w:firstRow="1" w:lastRow="0" w:firstColumn="0" w:lastColumn="0" w:noHBand="0" w:noVBand="1"/>
      </w:tblPr>
      <w:tblGrid>
        <w:gridCol w:w="4981"/>
        <w:gridCol w:w="969"/>
        <w:gridCol w:w="3387"/>
        <w:gridCol w:w="969"/>
      </w:tblGrid>
      <w:tr w:rsidR="0051193F" w14:paraId="4334FB35" w14:textId="77777777" w:rsidTr="005964BC">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B3BEB0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4B5840E"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97E355"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7F8E9FB"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5964BC" w14:paraId="3C1B1BD2" w14:textId="77777777" w:rsidTr="005964B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95F37F" w14:textId="08EBD4F0"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ServSafe Certification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AB47C6" w14:textId="5A54AD03"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556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ED3B57" w14:textId="4EFEB67B"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Insurance License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0A4C3B" w14:textId="1CAB5BBC"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w:t>
            </w:r>
          </w:p>
        </w:tc>
      </w:tr>
      <w:tr w:rsidR="005964BC" w14:paraId="2197D274" w14:textId="77777777" w:rsidTr="005964B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071D74" w14:textId="5E1323F4"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Food Safety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01E6FF" w14:textId="1F572F7E"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07A837" w14:textId="4E403B30"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Forklift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CD2F2D" w14:textId="112B8C56"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w:t>
            </w:r>
          </w:p>
        </w:tc>
      </w:tr>
      <w:tr w:rsidR="005964BC" w14:paraId="1B0E7ACA" w14:textId="77777777" w:rsidTr="005964B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715E6B" w14:textId="6EC5C52B"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Cardiopulmonary Resuscitation (CPR)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400425" w14:textId="3429FF01"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EBA7AF" w14:textId="4EB3884C"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Barista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8C8672" w14:textId="5880A945"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r>
      <w:tr w:rsidR="005964BC" w14:paraId="63AF537F" w14:textId="77777777" w:rsidTr="005964B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896AC8" w14:textId="55C79DE1"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First Aid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D23480" w14:textId="6600A058"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34F508" w14:textId="0ADE48DC"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Life And Health Insurance License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A90848" w14:textId="0C9DC89D"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r>
      <w:tr w:rsidR="005964BC" w14:paraId="3AD0C4A0" w14:textId="77777777" w:rsidTr="005964B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2328D2" w14:textId="0497D48F"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Responsible Beverage Service (RBS)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E1D987" w14:textId="4FC2140A"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62F6B3" w14:textId="5BBBB718"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pP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9EDEAA" w14:textId="4B6BFA72" w:rsidR="005964BC" w:rsidRDefault="005964BC" w:rsidP="005964B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p>
        </w:tc>
      </w:tr>
      <w:tr w:rsidR="005964BC" w14:paraId="7D5FAB51" w14:textId="77777777" w:rsidTr="005964BC">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0B0E575" w14:textId="77777777" w:rsidR="005964BC" w:rsidRDefault="005964BC" w:rsidP="005964BC">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2025.2; “Job Posting Analytics.” Sep. 2024 - Aug. 2025</w:t>
            </w:r>
          </w:p>
        </w:tc>
      </w:tr>
    </w:tbl>
    <w:p w14:paraId="30AFDE34" w14:textId="77777777" w:rsidR="00690D3F" w:rsidRDefault="00690D3F">
      <w:pPr>
        <w:rPr>
          <w:b/>
          <w:bCs/>
        </w:rPr>
      </w:pPr>
    </w:p>
    <w:p w14:paraId="5A3C3F41" w14:textId="24053606" w:rsidR="0051193F" w:rsidRDefault="00F615B8">
      <w:r>
        <w:rPr>
          <w:b/>
          <w:bCs/>
        </w:rPr>
        <w:t>Table 11. Education Requirements for Customer Service Occupations in the Bay Region</w:t>
      </w:r>
    </w:p>
    <w:tbl>
      <w:tblPr>
        <w:tblW w:w="0" w:type="pct"/>
        <w:jc w:val="center"/>
        <w:tblLook w:val="0420" w:firstRow="1" w:lastRow="0" w:firstColumn="0" w:lastColumn="0" w:noHBand="0" w:noVBand="1"/>
      </w:tblPr>
      <w:tblGrid>
        <w:gridCol w:w="5005"/>
        <w:gridCol w:w="2942"/>
        <w:gridCol w:w="2493"/>
      </w:tblGrid>
      <w:tr w:rsidR="0051193F" w14:paraId="23483FF1"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4539221"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519DCF3"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C3E0B66" w14:textId="77777777" w:rsidR="0051193F" w:rsidRDefault="00F615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of Total</w:t>
            </w:r>
          </w:p>
        </w:tc>
      </w:tr>
      <w:tr w:rsidR="0051193F" w14:paraId="7CEC789E"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C9CC01"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A418D5"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6,023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596E62"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64%</w:t>
            </w:r>
          </w:p>
        </w:tc>
      </w:tr>
      <w:tr w:rsidR="0051193F" w14:paraId="1668AC44"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DC4F7E"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E265A0"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615E3A"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r>
      <w:tr w:rsidR="0051193F" w14:paraId="59A6530B"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A57456"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6CD399"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2,568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FE4B93" w14:textId="77777777" w:rsidR="0051193F" w:rsidRDefault="00F615B8">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w:t>
            </w:r>
          </w:p>
        </w:tc>
      </w:tr>
      <w:tr w:rsidR="0051193F" w14:paraId="31D2F54C"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CCCA496" w14:textId="77777777" w:rsidR="0051193F" w:rsidRDefault="00F615B8">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2025.2; “Job Posting Analytics.” Sep. 2024 - Aug. 2025</w:t>
            </w:r>
          </w:p>
        </w:tc>
      </w:tr>
      <w:tr w:rsidR="0051193F" w14:paraId="2FF447B3"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519202E" w14:textId="77777777" w:rsidR="0051193F" w:rsidRDefault="00F615B8" w:rsidP="00C87DF0">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Note: 70% of records have been excluded because they do not include a degree level. As a result, the chart above may not be representative of the full sample.</w:t>
            </w:r>
          </w:p>
        </w:tc>
      </w:tr>
    </w:tbl>
    <w:p w14:paraId="05BBA374" w14:textId="77777777" w:rsidR="00690D3F" w:rsidRDefault="00690D3F" w:rsidP="00C87DF0">
      <w:pPr>
        <w:pStyle w:val="Heading2"/>
        <w:spacing w:before="0" w:line="360" w:lineRule="auto"/>
      </w:pPr>
      <w:bookmarkStart w:id="11" w:name="methodology"/>
      <w:bookmarkEnd w:id="10"/>
    </w:p>
    <w:p w14:paraId="496F6057" w14:textId="7894F659" w:rsidR="0051193F" w:rsidRDefault="00F615B8" w:rsidP="00C87DF0">
      <w:pPr>
        <w:pStyle w:val="Heading2"/>
        <w:spacing w:before="0" w:line="360" w:lineRule="auto"/>
      </w:pPr>
      <w:r>
        <w:t>Methodology</w:t>
      </w:r>
    </w:p>
    <w:p w14:paraId="50CFB9EE" w14:textId="77777777" w:rsidR="0051193F" w:rsidRDefault="00F615B8">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035FA345" w14:textId="77777777" w:rsidR="0051193F" w:rsidRDefault="00F615B8" w:rsidP="00C87DF0">
      <w:pPr>
        <w:pStyle w:val="Heading2"/>
        <w:spacing w:before="0" w:line="360" w:lineRule="auto"/>
      </w:pPr>
      <w:bookmarkStart w:id="12" w:name="sources"/>
      <w:bookmarkEnd w:id="11"/>
      <w:r>
        <w:lastRenderedPageBreak/>
        <w:t>Sources</w:t>
      </w:r>
    </w:p>
    <w:p w14:paraId="07075314" w14:textId="77777777" w:rsidR="0051193F" w:rsidRDefault="00F615B8">
      <w:r>
        <w:t>O*Net Online</w:t>
      </w:r>
      <w:r>
        <w:br/>
        <w:t>Lightcast</w:t>
      </w:r>
      <w:r>
        <w:br/>
        <w:t>CTE LaunchBoard www.calpassplus.org</w:t>
      </w:r>
      <w:r>
        <w:br/>
        <w:t>Statewide CTE Outcomes Survey</w:t>
      </w:r>
      <w:r>
        <w:br/>
        <w:t>Employment Development Department Unemployment Insurance Dataset</w:t>
      </w:r>
      <w:r>
        <w:br/>
        <w:t>CCCCO Data Mart</w:t>
      </w:r>
    </w:p>
    <w:p w14:paraId="3F0AE4E8" w14:textId="77777777" w:rsidR="0051193F" w:rsidRDefault="00F615B8" w:rsidP="00C87DF0">
      <w:pPr>
        <w:pStyle w:val="Heading2"/>
        <w:spacing w:before="0" w:line="360" w:lineRule="auto"/>
      </w:pPr>
      <w:bookmarkStart w:id="13" w:name="contacts"/>
      <w:bookmarkEnd w:id="12"/>
      <w:r>
        <w:t>Contacts</w:t>
      </w:r>
    </w:p>
    <w:p w14:paraId="1FFC6C6E" w14:textId="77777777" w:rsidR="0051193F" w:rsidRDefault="00F615B8">
      <w:r>
        <w:t>For more information, please contact:</w:t>
      </w:r>
    </w:p>
    <w:p w14:paraId="31D86AC3" w14:textId="77777777" w:rsidR="0051193F" w:rsidRDefault="00F615B8">
      <w:pPr>
        <w:numPr>
          <w:ilvl w:val="0"/>
          <w:numId w:val="18"/>
        </w:numPr>
      </w:pPr>
      <w:r>
        <w:t xml:space="preserve">Yumi Huang, Research Analyst, Bay Region Center of Excellence, </w:t>
      </w:r>
      <w:hyperlink r:id="rId9">
        <w:r w:rsidR="0051193F">
          <w:rPr>
            <w:rStyle w:val="Hyperlink"/>
          </w:rPr>
          <w:t>yumi@baccc.net</w:t>
        </w:r>
      </w:hyperlink>
      <w:r>
        <w:t xml:space="preserve"> or (831) 275-0043</w:t>
      </w:r>
    </w:p>
    <w:p w14:paraId="56849A86" w14:textId="77777777" w:rsidR="0051193F" w:rsidRDefault="00F615B8">
      <w:pPr>
        <w:numPr>
          <w:ilvl w:val="0"/>
          <w:numId w:val="18"/>
        </w:numPr>
      </w:pPr>
      <w:r>
        <w:t xml:space="preserve">Marcela Reyes, Director, Research and Center of Excellence, </w:t>
      </w:r>
      <w:hyperlink r:id="rId10">
        <w:r w:rsidR="0051193F">
          <w:rPr>
            <w:rStyle w:val="Hyperlink"/>
          </w:rPr>
          <w:t>marcela@baccc.net</w:t>
        </w:r>
      </w:hyperlink>
      <w:r>
        <w:t xml:space="preserve"> or (831) 219-8875</w:t>
      </w:r>
      <w:bookmarkEnd w:id="13"/>
    </w:p>
    <w:sectPr w:rsidR="0051193F" w:rsidSect="0049201C">
      <w:footerReference w:type="default" r:id="rId11"/>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AE5F" w14:textId="77777777" w:rsidR="00531CFA" w:rsidRDefault="00531CFA">
      <w:pPr>
        <w:spacing w:after="0" w:line="240" w:lineRule="auto"/>
      </w:pPr>
      <w:r>
        <w:separator/>
      </w:r>
    </w:p>
  </w:endnote>
  <w:endnote w:type="continuationSeparator" w:id="0">
    <w:p w14:paraId="2431B051" w14:textId="77777777" w:rsidR="00531CFA" w:rsidRDefault="0053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177A" w14:textId="77777777" w:rsidR="001350C8" w:rsidRDefault="001350C8" w:rsidP="0049201C">
    <w:pPr>
      <w:pStyle w:val="Footer"/>
      <w:tabs>
        <w:tab w:val="clear" w:pos="4680"/>
        <w:tab w:val="clear" w:pos="9360"/>
        <w:tab w:val="center" w:pos="6660"/>
        <w:tab w:val="right" w:pos="10080"/>
      </w:tabs>
      <w:rPr>
        <w:bCs/>
      </w:rPr>
    </w:pPr>
  </w:p>
  <w:p w14:paraId="6C089489" w14:textId="77777777" w:rsidR="001350C8" w:rsidRPr="00CA7C27" w:rsidRDefault="00927C99"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2276" w14:textId="77777777" w:rsidR="00531CFA" w:rsidRDefault="00531CFA">
      <w:pPr>
        <w:spacing w:after="0" w:line="240" w:lineRule="auto"/>
      </w:pPr>
      <w:r>
        <w:separator/>
      </w:r>
    </w:p>
  </w:footnote>
  <w:footnote w:type="continuationSeparator" w:id="0">
    <w:p w14:paraId="32E8245F" w14:textId="77777777" w:rsidR="00531CFA" w:rsidRDefault="00531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0720689">
    <w:abstractNumId w:val="6"/>
  </w:num>
  <w:num w:numId="2" w16cid:durableId="1339818969">
    <w:abstractNumId w:val="3"/>
  </w:num>
  <w:num w:numId="3" w16cid:durableId="1822430713">
    <w:abstractNumId w:val="8"/>
  </w:num>
  <w:num w:numId="4" w16cid:durableId="215630161">
    <w:abstractNumId w:val="7"/>
  </w:num>
  <w:num w:numId="5" w16cid:durableId="1068916583">
    <w:abstractNumId w:val="4"/>
  </w:num>
  <w:num w:numId="6" w16cid:durableId="535700159">
    <w:abstractNumId w:val="5"/>
  </w:num>
  <w:num w:numId="7" w16cid:durableId="249630685">
    <w:abstractNumId w:val="0"/>
  </w:num>
  <w:num w:numId="8" w16cid:durableId="327680768">
    <w:abstractNumId w:val="5"/>
  </w:num>
  <w:num w:numId="9" w16cid:durableId="877276826">
    <w:abstractNumId w:val="0"/>
  </w:num>
  <w:num w:numId="10" w16cid:durableId="687678961">
    <w:abstractNumId w:val="5"/>
  </w:num>
  <w:num w:numId="11" w16cid:durableId="596642394">
    <w:abstractNumId w:val="0"/>
  </w:num>
  <w:num w:numId="12" w16cid:durableId="742065449">
    <w:abstractNumId w:val="1"/>
  </w:num>
  <w:num w:numId="13" w16cid:durableId="1160848254">
    <w:abstractNumId w:val="2"/>
  </w:num>
  <w:num w:numId="14" w16cid:durableId="1148129926">
    <w:abstractNumId w:val="1"/>
  </w:num>
  <w:num w:numId="15" w16cid:durableId="55204420">
    <w:abstractNumId w:val="2"/>
  </w:num>
  <w:num w:numId="16" w16cid:durableId="455680071">
    <w:abstractNumId w:val="1"/>
  </w:num>
  <w:num w:numId="17" w16cid:durableId="868953268">
    <w:abstractNumId w:val="2"/>
  </w:num>
  <w:num w:numId="18" w16cid:durableId="2026444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71"/>
    <w:rsid w:val="00044DD0"/>
    <w:rsid w:val="000A0638"/>
    <w:rsid w:val="000F1F82"/>
    <w:rsid w:val="000F504B"/>
    <w:rsid w:val="001350C8"/>
    <w:rsid w:val="00232A17"/>
    <w:rsid w:val="00391EFF"/>
    <w:rsid w:val="003B0202"/>
    <w:rsid w:val="004A2A83"/>
    <w:rsid w:val="0051193F"/>
    <w:rsid w:val="00531CFA"/>
    <w:rsid w:val="005409BA"/>
    <w:rsid w:val="00547276"/>
    <w:rsid w:val="00591CF8"/>
    <w:rsid w:val="005964BC"/>
    <w:rsid w:val="00664D85"/>
    <w:rsid w:val="00690D3F"/>
    <w:rsid w:val="007732D5"/>
    <w:rsid w:val="007D4B92"/>
    <w:rsid w:val="007F491C"/>
    <w:rsid w:val="00890653"/>
    <w:rsid w:val="00927C99"/>
    <w:rsid w:val="00A2754F"/>
    <w:rsid w:val="00AB5A79"/>
    <w:rsid w:val="00AE18F1"/>
    <w:rsid w:val="00BC0477"/>
    <w:rsid w:val="00C63D15"/>
    <w:rsid w:val="00C87DF0"/>
    <w:rsid w:val="00CD6F7B"/>
    <w:rsid w:val="00D2120B"/>
    <w:rsid w:val="00D74F53"/>
    <w:rsid w:val="00F16A47"/>
    <w:rsid w:val="00F31D71"/>
    <w:rsid w:val="00F615B8"/>
    <w:rsid w:val="00FB35B3"/>
    <w:rsid w:val="00FB79F5"/>
    <w:rsid w:val="00FD5BE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4B14"/>
  <w15:docId w15:val="{B96339FC-942A-48C6-AD0A-806A5557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character" w:styleId="UnresolvedMention">
    <w:name w:val="Unresolved Mention"/>
    <w:basedOn w:val="DefaultParagraphFont"/>
    <w:uiPriority w:val="99"/>
    <w:rsid w:val="00AE1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cela@baccc.net%3E" TargetMode="External"/><Relationship Id="rId4" Type="http://schemas.openxmlformats.org/officeDocument/2006/relationships/settings" Target="settings.xml"/><Relationship Id="rId9" Type="http://schemas.openxmlformats.org/officeDocument/2006/relationships/hyperlink" Target="mailto:yumi@baccc.net"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7F96-22FC-4802-91F3-B415678D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Yumi 玉 Huang</dc:creator>
  <cp:keywords/>
  <cp:lastModifiedBy>Marcela Reyes</cp:lastModifiedBy>
  <cp:revision>15</cp:revision>
  <dcterms:created xsi:type="dcterms:W3CDTF">2025-09-13T20:57:00Z</dcterms:created>
  <dcterms:modified xsi:type="dcterms:W3CDTF">2025-09-16T05:39:00Z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