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DE26" w14:textId="77777777" w:rsidR="003354F9" w:rsidRDefault="00000000">
      <w:r>
        <w:rPr>
          <w:noProof/>
        </w:rPr>
        <w:drawing>
          <wp:inline distT="0" distB="0" distL="0" distR="0" wp14:anchorId="63C1B20B" wp14:editId="18D82A36">
            <wp:extent cx="2857500" cy="6250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COE.png"/>
                    <pic:cNvPicPr>
                      <a:picLocks noChangeAspect="1" noChangeArrowheads="1"/>
                    </pic:cNvPicPr>
                  </pic:nvPicPr>
                  <pic:blipFill>
                    <a:blip r:embed="rId7"/>
                    <a:stretch>
                      <a:fillRect/>
                    </a:stretch>
                  </pic:blipFill>
                  <pic:spPr bwMode="auto">
                    <a:xfrm>
                      <a:off x="0" y="0"/>
                      <a:ext cx="2857500" cy="625078"/>
                    </a:xfrm>
                    <a:prstGeom prst="rect">
                      <a:avLst/>
                    </a:prstGeom>
                    <a:noFill/>
                    <a:ln w="9525">
                      <a:noFill/>
                      <a:headEnd/>
                      <a:tailEnd/>
                    </a:ln>
                  </pic:spPr>
                </pic:pic>
              </a:graphicData>
            </a:graphic>
          </wp:inline>
        </w:drawing>
      </w:r>
    </w:p>
    <w:p w14:paraId="4C9B28A7" w14:textId="00809320" w:rsidR="003354F9" w:rsidRPr="0072604A" w:rsidRDefault="00000000" w:rsidP="0072604A">
      <w:pPr>
        <w:spacing w:after="0"/>
        <w:jc w:val="center"/>
        <w:rPr>
          <w:sz w:val="44"/>
          <w:szCs w:val="44"/>
        </w:rPr>
      </w:pPr>
      <w:r w:rsidRPr="0072604A">
        <w:rPr>
          <w:b/>
          <w:bCs/>
          <w:sz w:val="44"/>
          <w:szCs w:val="44"/>
        </w:rPr>
        <w:t xml:space="preserve">Labor Market Analysis for </w:t>
      </w:r>
      <w:r w:rsidR="00F97790">
        <w:rPr>
          <w:b/>
          <w:bCs/>
          <w:sz w:val="44"/>
          <w:szCs w:val="44"/>
        </w:rPr>
        <w:t>Program Modification</w:t>
      </w:r>
      <w:r w:rsidRPr="0072604A">
        <w:rPr>
          <w:b/>
          <w:bCs/>
          <w:sz w:val="44"/>
          <w:szCs w:val="44"/>
        </w:rPr>
        <w:t xml:space="preserve"> </w:t>
      </w:r>
    </w:p>
    <w:p w14:paraId="77736821" w14:textId="77777777" w:rsidR="003354F9" w:rsidRPr="0072604A" w:rsidRDefault="00000000" w:rsidP="0072604A">
      <w:pPr>
        <w:spacing w:after="0"/>
        <w:jc w:val="center"/>
        <w:rPr>
          <w:sz w:val="44"/>
          <w:szCs w:val="44"/>
        </w:rPr>
      </w:pPr>
      <w:r w:rsidRPr="0072604A">
        <w:rPr>
          <w:b/>
          <w:bCs/>
          <w:sz w:val="44"/>
          <w:szCs w:val="44"/>
        </w:rPr>
        <w:t>AI Design Occupations</w:t>
      </w:r>
    </w:p>
    <w:p w14:paraId="216EB58C" w14:textId="77777777" w:rsidR="003354F9" w:rsidRPr="0072604A" w:rsidRDefault="00000000" w:rsidP="0072604A">
      <w:pPr>
        <w:spacing w:after="0"/>
        <w:jc w:val="center"/>
        <w:rPr>
          <w:sz w:val="44"/>
          <w:szCs w:val="44"/>
        </w:rPr>
      </w:pPr>
      <w:r w:rsidRPr="0072604A">
        <w:rPr>
          <w:b/>
          <w:bCs/>
          <w:sz w:val="44"/>
          <w:szCs w:val="44"/>
        </w:rPr>
        <w:t>Berkeley City College</w:t>
      </w:r>
    </w:p>
    <w:p w14:paraId="2F378391" w14:textId="77777777" w:rsidR="003354F9" w:rsidRDefault="00000000" w:rsidP="0072604A">
      <w:pPr>
        <w:pStyle w:val="Heading2"/>
        <w:jc w:val="center"/>
      </w:pPr>
      <w:bookmarkStart w:id="0" w:name="Xb7f912360d5d5c7e29f315d22f0a3bf70594e0a"/>
      <w:r>
        <w:t>Prepared by the Bay Region Center of Excellence for Labor Market Research</w:t>
      </w:r>
    </w:p>
    <w:p w14:paraId="7FBF24FE" w14:textId="77777777" w:rsidR="003354F9" w:rsidRDefault="00000000" w:rsidP="0072604A">
      <w:pPr>
        <w:pStyle w:val="Heading2"/>
        <w:jc w:val="center"/>
      </w:pPr>
      <w:bookmarkStart w:id="1" w:name="may-2025"/>
      <w:bookmarkEnd w:id="0"/>
      <w:r>
        <w:t>May 2025</w:t>
      </w:r>
    </w:p>
    <w:p w14:paraId="62FB23E0" w14:textId="77777777" w:rsidR="003354F9" w:rsidRDefault="00000000" w:rsidP="0072604A">
      <w:pPr>
        <w:pStyle w:val="Heading2"/>
        <w:spacing w:before="0" w:line="360" w:lineRule="auto"/>
      </w:pPr>
      <w:bookmarkStart w:id="2" w:name="recommendation"/>
      <w:bookmarkEnd w:id="1"/>
      <w:r>
        <w:t>Recommendation</w:t>
      </w:r>
    </w:p>
    <w:p w14:paraId="01A8454B" w14:textId="2D886E3B" w:rsidR="00EA19E3" w:rsidRDefault="00EA19E3" w:rsidP="00EA19E3">
      <w:bookmarkStart w:id="3" w:name="introduction"/>
      <w:bookmarkEnd w:id="2"/>
      <w:r>
        <w:t xml:space="preserve">Based on all available data, there appears to be an “undersupply” of AI Design workers compared to the demand for this cluster of occupations in the Bay Region and in the East Bay Sub-Region (Alameda, Contra Costa counties). There is </w:t>
      </w:r>
      <w:r w:rsidRPr="00782461">
        <w:rPr>
          <w:color w:val="1C1C1C" w:themeColor="text1"/>
        </w:rPr>
        <w:t xml:space="preserve">a projected annual gap of about </w:t>
      </w:r>
      <w:r w:rsidR="00782461" w:rsidRPr="00782461">
        <w:rPr>
          <w:color w:val="1C1C1C" w:themeColor="text1"/>
        </w:rPr>
        <w:t>2,012</w:t>
      </w:r>
      <w:r w:rsidRPr="00782461">
        <w:rPr>
          <w:color w:val="1C1C1C" w:themeColor="text1"/>
        </w:rPr>
        <w:t xml:space="preserve"> students in the Bay Region and 3</w:t>
      </w:r>
      <w:r w:rsidR="00782461" w:rsidRPr="00782461">
        <w:rPr>
          <w:color w:val="1C1C1C" w:themeColor="text1"/>
        </w:rPr>
        <w:t>77</w:t>
      </w:r>
      <w:r w:rsidRPr="00782461">
        <w:rPr>
          <w:color w:val="1C1C1C" w:themeColor="text1"/>
        </w:rPr>
        <w:t xml:space="preserve"> students in the East Bay Sub-Region.</w:t>
      </w:r>
    </w:p>
    <w:p w14:paraId="1DC7D369" w14:textId="77777777" w:rsidR="003354F9" w:rsidRDefault="00000000" w:rsidP="0072604A">
      <w:pPr>
        <w:pStyle w:val="Heading2"/>
        <w:spacing w:before="0" w:line="360" w:lineRule="auto"/>
      </w:pPr>
      <w:r>
        <w:t>Introduction</w:t>
      </w:r>
    </w:p>
    <w:p w14:paraId="16062A41" w14:textId="77777777" w:rsidR="003354F9" w:rsidRDefault="00000000">
      <w:r>
        <w:t xml:space="preserve">This report provides student outcomes data on employment and earnings for TOP 0614.00 - _Digital Media programs in the state and region. It is recommended that </w:t>
      </w:r>
      <w:proofErr w:type="gramStart"/>
      <w:r>
        <w:t>these</w:t>
      </w:r>
      <w:proofErr w:type="gramEnd"/>
      <w:r>
        <w:t xml:space="preserve"> data be reviewed to better understand how outcomes for students taking courses on this TOP code compare to potentially similar programs at colleges in the state and region, as well as to outcomes across all CTE programs at Berkeley City College and in the region.</w:t>
      </w:r>
    </w:p>
    <w:p w14:paraId="058FC18E" w14:textId="655A3E7C" w:rsidR="003354F9" w:rsidRDefault="00000000">
      <w:r>
        <w:t xml:space="preserve">This report profiles AI Design Occupations in the 12 county Bay Region and in the East Bay Sub-Region for </w:t>
      </w:r>
      <w:r w:rsidR="00F97790">
        <w:t>pr</w:t>
      </w:r>
      <w:r>
        <w:t>ogram modification</w:t>
      </w:r>
      <w:r w:rsidR="00F97790">
        <w:t xml:space="preserve"> </w:t>
      </w:r>
      <w:r>
        <w:t>at Berkeley City College.</w:t>
      </w:r>
      <w:r w:rsidR="0094579A">
        <w:t xml:space="preserve"> </w:t>
      </w:r>
      <w:r w:rsidR="0094579A" w:rsidRPr="0094579A">
        <w:t>Graphic Designers (27-1024) are considered above middle-skill occupations, meaning most positions require a bachelor’s degree or higher. The other occupations listed are classified as middle-skill, typically requiring a certificate, an associate degree, or in some cases, a bachelor’s degre</w:t>
      </w:r>
      <w:r w:rsidR="0094579A">
        <w:t xml:space="preserve">e but </w:t>
      </w:r>
      <w:r w:rsidR="0094579A" w:rsidRPr="0094579A">
        <w:t>only 33% or fewer of current workers in those roles hold a bachelor’s degree.</w:t>
      </w:r>
    </w:p>
    <w:p w14:paraId="17BB382E" w14:textId="77777777" w:rsidR="00EA19E3" w:rsidRDefault="00EA19E3" w:rsidP="00EA19E3">
      <w:pPr>
        <w:numPr>
          <w:ilvl w:val="0"/>
          <w:numId w:val="19"/>
        </w:numPr>
      </w:pPr>
      <w:bookmarkStart w:id="4" w:name="occupational-demand"/>
      <w:bookmarkEnd w:id="3"/>
      <w:r>
        <w:rPr>
          <w:b/>
          <w:bCs/>
        </w:rPr>
        <w:t>Computer Network Support Specialists (15-1231):</w:t>
      </w:r>
      <w:r>
        <w:t xml:space="preserve"> Analyze, test, troubleshoot, and evaluate existing network systems, such as local area networks (LAN), wide area networks (WAN), cloud networks, servers, and other data communications networks. Perform network maintenance to ensure networks operate correctly with minimal interruption.</w:t>
      </w:r>
      <w:r>
        <w:br/>
      </w:r>
      <w:r>
        <w:t> </w:t>
      </w:r>
      <w:r>
        <w:t xml:space="preserve"> Typical Entry-Level Educational: </w:t>
      </w:r>
      <w:proofErr w:type="gramStart"/>
      <w:r>
        <w:t>Associate’s</w:t>
      </w:r>
      <w:proofErr w:type="gramEnd"/>
      <w:r>
        <w:t xml:space="preserve"> degree</w:t>
      </w:r>
      <w:r>
        <w:br/>
      </w:r>
      <w:r w:rsidRPr="0094579A">
        <w:rPr>
          <w:b/>
          <w:bCs/>
        </w:rPr>
        <w:t> </w:t>
      </w:r>
      <w:r w:rsidRPr="0094579A">
        <w:rPr>
          <w:b/>
          <w:bCs/>
        </w:rPr>
        <w:t xml:space="preserve"> Skill Level: Middle-Skill</w:t>
      </w:r>
      <w:r>
        <w:br/>
      </w:r>
      <w:r>
        <w:t> </w:t>
      </w:r>
      <w:r>
        <w:t xml:space="preserve"> Work Experience Required: None</w:t>
      </w:r>
      <w:r>
        <w:br/>
      </w:r>
      <w:r>
        <w:t> </w:t>
      </w:r>
      <w:r>
        <w:t xml:space="preserve"> Percentage of individuals 25+ with an associate degree, certificate, or some postsecondary coursework as their highest level of education attainment: 39%</w:t>
      </w:r>
    </w:p>
    <w:p w14:paraId="0466F8CF" w14:textId="77777777" w:rsidR="00EA19E3" w:rsidRDefault="00EA19E3" w:rsidP="00EA19E3">
      <w:pPr>
        <w:numPr>
          <w:ilvl w:val="0"/>
          <w:numId w:val="19"/>
        </w:numPr>
      </w:pPr>
      <w:r>
        <w:rPr>
          <w:b/>
          <w:bCs/>
        </w:rPr>
        <w:t>Web and Digital Interface Designers (15-1255):</w:t>
      </w:r>
      <w:r>
        <w:t xml:space="preserve"> Design digital user interfaces or websites. Develop and test layouts, interfaces, functionality, and navigation menus to ensure compatibility and usability across browsers or devices. May use web framework applications as well as client-side code and processes. May evaluate web design following web and accessibility </w:t>
      </w:r>
      <w:proofErr w:type="gramStart"/>
      <w:r>
        <w:t>standards, and</w:t>
      </w:r>
      <w:proofErr w:type="gramEnd"/>
      <w:r>
        <w:t xml:space="preserve"> may analyze web use metrics and optimize websites for marketability and search engine ranking. May design and test interfaces that facilitate </w:t>
      </w:r>
      <w:proofErr w:type="gramStart"/>
      <w:r>
        <w:t>the human</w:t>
      </w:r>
      <w:proofErr w:type="gramEnd"/>
      <w:r>
        <w:t>-computer interaction and maximize the usability of digital devices, websites, and software with a focus on aesthetics and design. May create graphics used in websites and manage website content and links.</w:t>
      </w:r>
      <w:r>
        <w:br/>
      </w:r>
      <w:r>
        <w:t> </w:t>
      </w:r>
      <w:r>
        <w:t xml:space="preserve"> Typical Entry-Level Educational: Bachelor’s degree</w:t>
      </w:r>
      <w:r>
        <w:br/>
      </w:r>
      <w:r w:rsidRPr="0094579A">
        <w:rPr>
          <w:b/>
          <w:bCs/>
        </w:rPr>
        <w:t> </w:t>
      </w:r>
      <w:r w:rsidRPr="0094579A">
        <w:rPr>
          <w:b/>
          <w:bCs/>
        </w:rPr>
        <w:t xml:space="preserve"> Skill Level: Middle-Skill</w:t>
      </w:r>
      <w:r>
        <w:br/>
      </w:r>
      <w:r>
        <w:t> </w:t>
      </w:r>
      <w:r>
        <w:t xml:space="preserve"> Work Experience Required: None</w:t>
      </w:r>
      <w:r>
        <w:br/>
      </w:r>
      <w:r>
        <w:lastRenderedPageBreak/>
        <w:t> </w:t>
      </w:r>
      <w:r>
        <w:t xml:space="preserve"> Percentage of individuals 25+ with an associate degree, certificate, or some postsecondary coursework as their highest level of education attainment: 23%</w:t>
      </w:r>
    </w:p>
    <w:p w14:paraId="7D63C43C" w14:textId="77777777" w:rsidR="00EA19E3" w:rsidRDefault="00EA19E3" w:rsidP="00EA19E3">
      <w:pPr>
        <w:numPr>
          <w:ilvl w:val="0"/>
          <w:numId w:val="19"/>
        </w:numPr>
      </w:pPr>
      <w:r>
        <w:rPr>
          <w:b/>
          <w:bCs/>
        </w:rPr>
        <w:t>Graphic Designers (27-1024):</w:t>
      </w:r>
      <w:r>
        <w:t xml:space="preserve"> Design or create graphics to meet specific commercial or promotional needs, such as packaging, displays, or logos. May use a variety of mediums to achieve artistic or decorative effects.</w:t>
      </w:r>
      <w:r>
        <w:br/>
      </w:r>
      <w:r>
        <w:t> </w:t>
      </w:r>
      <w:r>
        <w:t xml:space="preserve"> Typical Entry-Level Educational: Bachelor’s degree</w:t>
      </w:r>
      <w:r>
        <w:br/>
      </w:r>
      <w:r w:rsidRPr="0094579A">
        <w:rPr>
          <w:b/>
          <w:bCs/>
        </w:rPr>
        <w:t> </w:t>
      </w:r>
      <w:r w:rsidRPr="0094579A">
        <w:rPr>
          <w:b/>
          <w:bCs/>
        </w:rPr>
        <w:t xml:space="preserve"> Skill Level: Above Middle-Skill</w:t>
      </w:r>
      <w:r w:rsidRPr="0094579A">
        <w:rPr>
          <w:b/>
          <w:bCs/>
        </w:rPr>
        <w:br/>
      </w:r>
      <w:r>
        <w:t> </w:t>
      </w:r>
      <w:r>
        <w:t xml:space="preserve"> Work Experience Required: None</w:t>
      </w:r>
      <w:r>
        <w:br/>
      </w:r>
      <w:r>
        <w:t> </w:t>
      </w:r>
      <w:r>
        <w:t xml:space="preserve"> Percentage of individuals 25+ with an associate degree, certificate, or some postsecondary coursework as their highest level of education attainment: 25%</w:t>
      </w:r>
    </w:p>
    <w:p w14:paraId="16D51D9A" w14:textId="77777777" w:rsidR="003354F9" w:rsidRDefault="00000000" w:rsidP="0072604A">
      <w:pPr>
        <w:pStyle w:val="Heading2"/>
        <w:spacing w:before="0" w:line="360" w:lineRule="auto"/>
      </w:pPr>
      <w:r>
        <w:t>Occupational Demand</w:t>
      </w:r>
    </w:p>
    <w:p w14:paraId="684B484B" w14:textId="77777777" w:rsidR="00EA19E3" w:rsidRDefault="00EA19E3" w:rsidP="00EA19E3">
      <w:r>
        <w:rPr>
          <w:b/>
          <w:bCs/>
        </w:rPr>
        <w:t>Table 1. Employment Outlook for AI Design Occupations in the Bay Region</w:t>
      </w:r>
    </w:p>
    <w:tbl>
      <w:tblPr>
        <w:tblW w:w="0" w:type="pct"/>
        <w:tblLook w:val="0420" w:firstRow="1" w:lastRow="0" w:firstColumn="0" w:lastColumn="0" w:noHBand="0" w:noVBand="1"/>
      </w:tblPr>
      <w:tblGrid>
        <w:gridCol w:w="1834"/>
        <w:gridCol w:w="792"/>
        <w:gridCol w:w="791"/>
        <w:gridCol w:w="998"/>
        <w:gridCol w:w="1080"/>
        <w:gridCol w:w="1331"/>
        <w:gridCol w:w="1268"/>
        <w:gridCol w:w="1113"/>
        <w:gridCol w:w="1233"/>
      </w:tblGrid>
      <w:tr w:rsidR="00EA19E3" w14:paraId="35D21395" w14:textId="77777777" w:rsidTr="00EA19E3">
        <w:trPr>
          <w:tblHeader/>
        </w:trPr>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2B214634" w14:textId="77777777" w:rsidR="00EA19E3" w:rsidRDefault="00EA19E3">
            <w:pP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368F1461" w14:textId="77777777" w:rsidR="00EA19E3" w:rsidRDefault="00EA19E3">
            <w:pP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2A0D9EC3" w14:textId="77777777" w:rsidR="00EA19E3" w:rsidRDefault="00EA19E3">
            <w:pP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67906A4A" w14:textId="77777777" w:rsidR="00EA19E3" w:rsidRDefault="00EA19E3">
            <w:pP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2A4A95B7" w14:textId="77777777" w:rsidR="00EA19E3" w:rsidRDefault="00EA19E3">
            <w:pP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0A5E587D" w14:textId="77777777" w:rsidR="00EA19E3" w:rsidRDefault="00EA19E3">
            <w:pP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60756011" w14:textId="77777777" w:rsidR="00EA19E3" w:rsidRDefault="00EA19E3">
            <w:pP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11F34FE9" w14:textId="77777777" w:rsidR="00EA19E3" w:rsidRDefault="00EA19E3">
            <w:pP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3E4D480E" w14:textId="77777777" w:rsidR="00EA19E3" w:rsidRDefault="00EA19E3">
            <w:pPr>
              <w:spacing w:before="100" w:after="100" w:line="240" w:lineRule="auto"/>
              <w:ind w:left="100" w:right="100"/>
              <w:jc w:val="center"/>
            </w:pPr>
            <w:r>
              <w:rPr>
                <w:rFonts w:eastAsia="Tw Cen MT" w:cs="Tw Cen MT"/>
                <w:b/>
                <w:sz w:val="21"/>
                <w:szCs w:val="21"/>
              </w:rPr>
              <w:t>Median Hourly Wage</w:t>
            </w:r>
          </w:p>
        </w:tc>
      </w:tr>
      <w:tr w:rsidR="00EA19E3" w14:paraId="456F3A71" w14:textId="77777777" w:rsidTr="00EA19E3">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57461471" w14:textId="77777777" w:rsidR="00EA19E3" w:rsidRDefault="00EA19E3">
            <w:pPr>
              <w:spacing w:after="0" w:line="240" w:lineRule="auto"/>
            </w:pPr>
            <w:r>
              <w:rPr>
                <w:rFonts w:eastAsia="Tw Cen MT" w:cs="Tw Cen MT"/>
                <w:sz w:val="21"/>
                <w:szCs w:val="21"/>
              </w:rPr>
              <w:t>Computer Network Support Specialists</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368B20AC" w14:textId="77777777" w:rsidR="00EA19E3" w:rsidRDefault="00EA19E3">
            <w:pPr>
              <w:spacing w:after="0" w:line="240" w:lineRule="auto"/>
              <w:jc w:val="center"/>
            </w:pPr>
            <w:r>
              <w:rPr>
                <w:rFonts w:eastAsia="Tw Cen MT" w:cs="Tw Cen MT"/>
                <w:sz w:val="21"/>
                <w:szCs w:val="21"/>
              </w:rPr>
              <w:t>3,937</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271365C" w14:textId="77777777" w:rsidR="00EA19E3" w:rsidRDefault="00EA19E3">
            <w:pPr>
              <w:spacing w:after="0" w:line="240" w:lineRule="auto"/>
              <w:jc w:val="center"/>
            </w:pPr>
            <w:r>
              <w:rPr>
                <w:rFonts w:eastAsia="Tw Cen MT" w:cs="Tw Cen MT"/>
                <w:sz w:val="21"/>
                <w:szCs w:val="21"/>
              </w:rPr>
              <w:t>4,262</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C3F3307" w14:textId="77777777" w:rsidR="00EA19E3" w:rsidRDefault="00EA19E3">
            <w:pPr>
              <w:spacing w:after="0" w:line="240" w:lineRule="auto"/>
              <w:jc w:val="center"/>
            </w:pPr>
            <w:r>
              <w:rPr>
                <w:rFonts w:eastAsia="Tw Cen MT" w:cs="Tw Cen MT"/>
                <w:sz w:val="21"/>
                <w:szCs w:val="21"/>
              </w:rPr>
              <w:t>326</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3F955195" w14:textId="77777777" w:rsidR="00EA19E3" w:rsidRDefault="00EA19E3">
            <w:pPr>
              <w:spacing w:after="0" w:line="240" w:lineRule="auto"/>
              <w:jc w:val="center"/>
            </w:pPr>
            <w:r>
              <w:rPr>
                <w:rFonts w:eastAsia="Tw Cen MT" w:cs="Tw Cen MT"/>
                <w:sz w:val="21"/>
                <w:szCs w:val="21"/>
              </w:rPr>
              <w:t>8%</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5E67AA40" w14:textId="77777777" w:rsidR="00EA19E3" w:rsidRDefault="00EA19E3">
            <w:pPr>
              <w:spacing w:after="0" w:line="240" w:lineRule="auto"/>
              <w:jc w:val="center"/>
            </w:pPr>
            <w:r>
              <w:rPr>
                <w:rFonts w:eastAsia="Tw Cen MT" w:cs="Tw Cen MT"/>
                <w:sz w:val="21"/>
                <w:szCs w:val="21"/>
              </w:rPr>
              <w:t>1,713</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49FB5362" w14:textId="77777777" w:rsidR="00EA19E3" w:rsidRDefault="00EA19E3">
            <w:pPr>
              <w:spacing w:after="0" w:line="240" w:lineRule="auto"/>
              <w:jc w:val="center"/>
            </w:pPr>
            <w:r>
              <w:rPr>
                <w:rFonts w:eastAsia="Tw Cen MT" w:cs="Tw Cen MT"/>
                <w:sz w:val="21"/>
                <w:szCs w:val="21"/>
              </w:rPr>
              <w:t>343</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49BAB34A" w14:textId="77777777" w:rsidR="00EA19E3" w:rsidRDefault="00EA19E3">
            <w:pPr>
              <w:spacing w:after="0" w:line="240" w:lineRule="auto"/>
              <w:jc w:val="center"/>
            </w:pPr>
            <w:r>
              <w:rPr>
                <w:rFonts w:eastAsia="Tw Cen MT" w:cs="Tw Cen MT"/>
                <w:sz w:val="21"/>
                <w:szCs w:val="21"/>
              </w:rPr>
              <w:t>$33</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A7CEBD0" w14:textId="77777777" w:rsidR="00EA19E3" w:rsidRDefault="00EA19E3">
            <w:pPr>
              <w:spacing w:after="0" w:line="240" w:lineRule="auto"/>
              <w:jc w:val="center"/>
            </w:pPr>
            <w:r>
              <w:rPr>
                <w:rFonts w:eastAsia="Tw Cen MT" w:cs="Tw Cen MT"/>
                <w:sz w:val="21"/>
                <w:szCs w:val="21"/>
              </w:rPr>
              <w:t>$42</w:t>
            </w:r>
          </w:p>
        </w:tc>
      </w:tr>
      <w:tr w:rsidR="00EA19E3" w14:paraId="030C249D" w14:textId="77777777" w:rsidTr="00EA19E3">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5721DD83" w14:textId="77777777" w:rsidR="00EA19E3" w:rsidRDefault="00EA19E3">
            <w:pPr>
              <w:spacing w:after="0" w:line="240" w:lineRule="auto"/>
            </w:pPr>
            <w:r>
              <w:rPr>
                <w:rFonts w:eastAsia="Tw Cen MT" w:cs="Tw Cen MT"/>
                <w:sz w:val="21"/>
                <w:szCs w:val="21"/>
              </w:rPr>
              <w:t>Web and Digital Interface Designers</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493BC9F9" w14:textId="77777777" w:rsidR="00EA19E3" w:rsidRDefault="00EA19E3">
            <w:pPr>
              <w:spacing w:after="0" w:line="240" w:lineRule="auto"/>
              <w:jc w:val="center"/>
            </w:pPr>
            <w:r>
              <w:rPr>
                <w:rFonts w:eastAsia="Tw Cen MT" w:cs="Tw Cen MT"/>
                <w:sz w:val="21"/>
                <w:szCs w:val="21"/>
              </w:rPr>
              <w:t>11,849</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5C03811" w14:textId="77777777" w:rsidR="00EA19E3" w:rsidRDefault="00EA19E3">
            <w:pPr>
              <w:spacing w:after="0" w:line="240" w:lineRule="auto"/>
              <w:jc w:val="center"/>
            </w:pPr>
            <w:r>
              <w:rPr>
                <w:rFonts w:eastAsia="Tw Cen MT" w:cs="Tw Cen MT"/>
                <w:sz w:val="21"/>
                <w:szCs w:val="21"/>
              </w:rPr>
              <w:t>12,194</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0A339927" w14:textId="77777777" w:rsidR="00EA19E3" w:rsidRDefault="00EA19E3">
            <w:pPr>
              <w:spacing w:after="0" w:line="240" w:lineRule="auto"/>
              <w:jc w:val="center"/>
            </w:pPr>
            <w:r>
              <w:rPr>
                <w:rFonts w:eastAsia="Tw Cen MT" w:cs="Tw Cen MT"/>
                <w:sz w:val="21"/>
                <w:szCs w:val="21"/>
              </w:rPr>
              <w:t>345</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788730C0" w14:textId="77777777" w:rsidR="00EA19E3" w:rsidRDefault="00EA19E3">
            <w:pPr>
              <w:spacing w:after="0" w:line="240" w:lineRule="auto"/>
              <w:jc w:val="center"/>
            </w:pPr>
            <w:r>
              <w:rPr>
                <w:rFonts w:eastAsia="Tw Cen MT" w:cs="Tw Cen MT"/>
                <w:sz w:val="21"/>
                <w:szCs w:val="21"/>
              </w:rPr>
              <w:t>3%</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75662FCE" w14:textId="77777777" w:rsidR="00EA19E3" w:rsidRDefault="00EA19E3">
            <w:pPr>
              <w:spacing w:after="0" w:line="240" w:lineRule="auto"/>
              <w:jc w:val="center"/>
            </w:pPr>
            <w:r>
              <w:rPr>
                <w:rFonts w:eastAsia="Tw Cen MT" w:cs="Tw Cen MT"/>
                <w:sz w:val="21"/>
                <w:szCs w:val="21"/>
              </w:rPr>
              <w:t>4,910</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6C44EDFD" w14:textId="77777777" w:rsidR="00EA19E3" w:rsidRDefault="00EA19E3">
            <w:pPr>
              <w:spacing w:after="0" w:line="240" w:lineRule="auto"/>
              <w:jc w:val="center"/>
            </w:pPr>
            <w:r>
              <w:rPr>
                <w:rFonts w:eastAsia="Tw Cen MT" w:cs="Tw Cen MT"/>
                <w:sz w:val="21"/>
                <w:szCs w:val="21"/>
              </w:rPr>
              <w:t>982</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2B6B025D" w14:textId="77777777" w:rsidR="00EA19E3" w:rsidRDefault="00EA19E3">
            <w:pPr>
              <w:spacing w:after="0" w:line="240" w:lineRule="auto"/>
              <w:jc w:val="center"/>
            </w:pPr>
            <w:r>
              <w:rPr>
                <w:rFonts w:eastAsia="Tw Cen MT" w:cs="Tw Cen MT"/>
                <w:sz w:val="21"/>
                <w:szCs w:val="21"/>
              </w:rPr>
              <w:t>$51</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43468293" w14:textId="77777777" w:rsidR="00EA19E3" w:rsidRDefault="00EA19E3">
            <w:pPr>
              <w:spacing w:after="0" w:line="240" w:lineRule="auto"/>
              <w:jc w:val="center"/>
            </w:pPr>
            <w:r>
              <w:rPr>
                <w:rFonts w:eastAsia="Tw Cen MT" w:cs="Tw Cen MT"/>
                <w:sz w:val="21"/>
                <w:szCs w:val="21"/>
              </w:rPr>
              <w:t>$77</w:t>
            </w:r>
          </w:p>
        </w:tc>
      </w:tr>
      <w:tr w:rsidR="00EA19E3" w14:paraId="70CFF92C" w14:textId="77777777" w:rsidTr="00EA19E3">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03E53B09" w14:textId="77777777" w:rsidR="00EA19E3" w:rsidRDefault="00EA19E3">
            <w:pPr>
              <w:spacing w:after="0" w:line="240" w:lineRule="auto"/>
            </w:pPr>
            <w:r>
              <w:rPr>
                <w:rFonts w:eastAsia="Tw Cen MT" w:cs="Tw Cen MT"/>
                <w:sz w:val="21"/>
                <w:szCs w:val="21"/>
              </w:rPr>
              <w:t>Graphic Designers</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0C166AE4" w14:textId="77777777" w:rsidR="00EA19E3" w:rsidRDefault="00EA19E3">
            <w:pPr>
              <w:spacing w:after="0" w:line="240" w:lineRule="auto"/>
              <w:jc w:val="center"/>
            </w:pPr>
            <w:r>
              <w:rPr>
                <w:rFonts w:eastAsia="Tw Cen MT" w:cs="Tw Cen MT"/>
                <w:sz w:val="21"/>
                <w:szCs w:val="21"/>
              </w:rPr>
              <w:t>9,723</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530F7426" w14:textId="77777777" w:rsidR="00EA19E3" w:rsidRDefault="00EA19E3">
            <w:pPr>
              <w:spacing w:after="0" w:line="240" w:lineRule="auto"/>
              <w:jc w:val="center"/>
            </w:pPr>
            <w:r>
              <w:rPr>
                <w:rFonts w:eastAsia="Tw Cen MT" w:cs="Tw Cen MT"/>
                <w:sz w:val="21"/>
                <w:szCs w:val="21"/>
              </w:rPr>
              <w:t>9,542</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2E7C3C1" w14:textId="77777777" w:rsidR="00EA19E3" w:rsidRDefault="00EA19E3">
            <w:pPr>
              <w:spacing w:after="0" w:line="240" w:lineRule="auto"/>
              <w:jc w:val="center"/>
            </w:pPr>
            <w:r>
              <w:rPr>
                <w:rFonts w:eastAsia="Tw Cen MT" w:cs="Tw Cen MT"/>
                <w:sz w:val="21"/>
                <w:szCs w:val="21"/>
              </w:rPr>
              <w:t>-181</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604D8FEA" w14:textId="77777777" w:rsidR="00EA19E3" w:rsidRDefault="00EA19E3">
            <w:pPr>
              <w:spacing w:after="0" w:line="240" w:lineRule="auto"/>
              <w:jc w:val="center"/>
            </w:pPr>
            <w:r>
              <w:rPr>
                <w:rFonts w:eastAsia="Tw Cen MT" w:cs="Tw Cen MT"/>
                <w:sz w:val="21"/>
                <w:szCs w:val="21"/>
              </w:rPr>
              <w:t>-2%</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A96E4D1" w14:textId="77777777" w:rsidR="00EA19E3" w:rsidRDefault="00EA19E3">
            <w:pPr>
              <w:spacing w:after="0" w:line="240" w:lineRule="auto"/>
              <w:jc w:val="center"/>
            </w:pPr>
            <w:r>
              <w:rPr>
                <w:rFonts w:eastAsia="Tw Cen MT" w:cs="Tw Cen MT"/>
                <w:sz w:val="21"/>
                <w:szCs w:val="21"/>
              </w:rPr>
              <w:t>4,063</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29D4F37A" w14:textId="77777777" w:rsidR="00EA19E3" w:rsidRDefault="00EA19E3">
            <w:pPr>
              <w:spacing w:after="0" w:line="240" w:lineRule="auto"/>
              <w:jc w:val="center"/>
            </w:pPr>
            <w:r>
              <w:rPr>
                <w:rFonts w:eastAsia="Tw Cen MT" w:cs="Tw Cen MT"/>
                <w:sz w:val="21"/>
                <w:szCs w:val="21"/>
              </w:rPr>
              <w:t>813</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698D6915" w14:textId="77777777" w:rsidR="00EA19E3" w:rsidRDefault="00EA19E3">
            <w:pPr>
              <w:spacing w:after="0" w:line="240" w:lineRule="auto"/>
              <w:jc w:val="center"/>
            </w:pPr>
            <w:r>
              <w:rPr>
                <w:rFonts w:eastAsia="Tw Cen MT" w:cs="Tw Cen MT"/>
                <w:sz w:val="21"/>
                <w:szCs w:val="21"/>
              </w:rPr>
              <w:t>$25</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71053BB1" w14:textId="77777777" w:rsidR="00EA19E3" w:rsidRDefault="00EA19E3">
            <w:pPr>
              <w:spacing w:after="0" w:line="240" w:lineRule="auto"/>
              <w:jc w:val="center"/>
            </w:pPr>
            <w:r>
              <w:rPr>
                <w:rFonts w:eastAsia="Tw Cen MT" w:cs="Tw Cen MT"/>
                <w:sz w:val="21"/>
                <w:szCs w:val="21"/>
              </w:rPr>
              <w:t>$38</w:t>
            </w:r>
          </w:p>
        </w:tc>
      </w:tr>
      <w:tr w:rsidR="00EA19E3" w14:paraId="67D10BC4" w14:textId="77777777" w:rsidTr="00EA19E3">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75970132" w14:textId="77777777" w:rsidR="00EA19E3" w:rsidRDefault="00EA19E3">
            <w:pPr>
              <w:spacing w:after="0" w:line="240" w:lineRule="auto"/>
            </w:pPr>
            <w:r>
              <w:rPr>
                <w:rFonts w:eastAsia="Tw Cen MT" w:cs="Tw Cen MT"/>
                <w:b/>
                <w:sz w:val="21"/>
                <w:szCs w:val="21"/>
              </w:rPr>
              <w:t>Total</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3D15D0E0" w14:textId="77777777" w:rsidR="00EA19E3" w:rsidRDefault="00EA19E3">
            <w:pPr>
              <w:spacing w:after="0" w:line="240" w:lineRule="auto"/>
              <w:jc w:val="center"/>
            </w:pPr>
            <w:r>
              <w:rPr>
                <w:rFonts w:eastAsia="Tw Cen MT" w:cs="Tw Cen MT"/>
                <w:b/>
                <w:sz w:val="21"/>
                <w:szCs w:val="21"/>
              </w:rPr>
              <w:t>25,509</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08FB0901" w14:textId="77777777" w:rsidR="00EA19E3" w:rsidRDefault="00EA19E3">
            <w:pPr>
              <w:spacing w:after="0" w:line="240" w:lineRule="auto"/>
              <w:jc w:val="center"/>
            </w:pPr>
            <w:r>
              <w:rPr>
                <w:rFonts w:eastAsia="Tw Cen MT" w:cs="Tw Cen MT"/>
                <w:b/>
                <w:sz w:val="21"/>
                <w:szCs w:val="21"/>
              </w:rPr>
              <w:t>25,998</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219526DC" w14:textId="77777777" w:rsidR="00EA19E3" w:rsidRDefault="00EA19E3">
            <w:pPr>
              <w:spacing w:after="0" w:line="240" w:lineRule="auto"/>
              <w:jc w:val="center"/>
            </w:pPr>
            <w:r>
              <w:rPr>
                <w:rFonts w:eastAsia="Tw Cen MT" w:cs="Tw Cen MT"/>
                <w:b/>
                <w:sz w:val="21"/>
                <w:szCs w:val="21"/>
              </w:rPr>
              <w:t>489</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720081F0" w14:textId="77777777" w:rsidR="00EA19E3" w:rsidRDefault="00EA19E3">
            <w:pPr>
              <w:spacing w:after="0" w:line="240" w:lineRule="auto"/>
              <w:jc w:val="center"/>
            </w:pPr>
            <w:r>
              <w:rPr>
                <w:rFonts w:eastAsia="Tw Cen MT" w:cs="Tw Cen MT"/>
                <w:b/>
                <w:sz w:val="21"/>
                <w:szCs w:val="21"/>
              </w:rPr>
              <w:t>2%</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1885C0FC" w14:textId="77777777" w:rsidR="00EA19E3" w:rsidRDefault="00EA19E3">
            <w:pPr>
              <w:spacing w:after="0" w:line="240" w:lineRule="auto"/>
              <w:jc w:val="center"/>
            </w:pPr>
            <w:r>
              <w:rPr>
                <w:rFonts w:eastAsia="Tw Cen MT" w:cs="Tw Cen MT"/>
                <w:b/>
                <w:sz w:val="21"/>
                <w:szCs w:val="21"/>
              </w:rPr>
              <w:t>10,686</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5E49537E" w14:textId="77777777" w:rsidR="00EA19E3" w:rsidRDefault="00EA19E3">
            <w:pPr>
              <w:spacing w:after="0" w:line="240" w:lineRule="auto"/>
              <w:jc w:val="center"/>
            </w:pPr>
            <w:r>
              <w:rPr>
                <w:rFonts w:eastAsia="Tw Cen MT" w:cs="Tw Cen MT"/>
                <w:b/>
                <w:sz w:val="21"/>
                <w:szCs w:val="21"/>
              </w:rPr>
              <w:t>2,138</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3E1501B5" w14:textId="77777777" w:rsidR="00EA19E3" w:rsidRDefault="00EA19E3">
            <w:pPr>
              <w:spacing w:after="0" w:line="240" w:lineRule="auto"/>
              <w:jc w:val="center"/>
            </w:pPr>
            <w:r>
              <w:rPr>
                <w:rFonts w:eastAsia="Tw Cen MT" w:cs="Tw Cen MT"/>
                <w:b/>
                <w:sz w:val="21"/>
                <w:szCs w:val="21"/>
              </w:rPr>
              <w:t>$38</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46EF5D09" w14:textId="77777777" w:rsidR="00EA19E3" w:rsidRDefault="00EA19E3">
            <w:pPr>
              <w:spacing w:after="0" w:line="240" w:lineRule="auto"/>
              <w:jc w:val="center"/>
            </w:pPr>
            <w:r>
              <w:rPr>
                <w:rFonts w:eastAsia="Tw Cen MT" w:cs="Tw Cen MT"/>
                <w:b/>
                <w:sz w:val="21"/>
                <w:szCs w:val="21"/>
              </w:rPr>
              <w:t>$57</w:t>
            </w:r>
          </w:p>
        </w:tc>
      </w:tr>
      <w:tr w:rsidR="00EA19E3" w14:paraId="4F6B9E02" w14:textId="77777777" w:rsidTr="00EA19E3">
        <w:tc>
          <w:tcPr>
            <w:tcW w:w="0" w:type="auto"/>
            <w:gridSpan w:val="9"/>
            <w:tcBorders>
              <w:top w:val="single" w:sz="12" w:space="0" w:color="666666"/>
              <w:left w:val="nil"/>
              <w:bottom w:val="nil"/>
              <w:right w:val="nil"/>
            </w:tcBorders>
            <w:shd w:val="clear" w:color="auto" w:fill="FFFFFF"/>
            <w:tcMar>
              <w:top w:w="0" w:type="dxa"/>
              <w:left w:w="0" w:type="dxa"/>
              <w:bottom w:w="0" w:type="dxa"/>
              <w:right w:w="0" w:type="dxa"/>
            </w:tcMar>
            <w:vAlign w:val="center"/>
            <w:hideMark/>
          </w:tcPr>
          <w:p w14:paraId="59BD54D0" w14:textId="77777777" w:rsidR="00EA19E3" w:rsidRDefault="00EA19E3">
            <w:pPr>
              <w:spacing w:before="100" w:after="100" w:line="72" w:lineRule="auto"/>
              <w:ind w:left="100" w:right="100"/>
            </w:pPr>
            <w:r>
              <w:rPr>
                <w:rFonts w:eastAsia="Tw Cen MT" w:cs="Tw Cen MT"/>
                <w:sz w:val="20"/>
                <w:szCs w:val="20"/>
              </w:rPr>
              <w:t>Source: Lightcast 2025.1</w:t>
            </w:r>
          </w:p>
        </w:tc>
      </w:tr>
      <w:tr w:rsidR="00EA19E3" w14:paraId="123139AE" w14:textId="77777777" w:rsidTr="00EA19E3">
        <w:tc>
          <w:tcPr>
            <w:tcW w:w="0" w:type="auto"/>
            <w:gridSpan w:val="9"/>
            <w:tcBorders>
              <w:top w:val="nil"/>
              <w:left w:val="nil"/>
              <w:bottom w:val="nil"/>
              <w:right w:val="nil"/>
            </w:tcBorders>
            <w:shd w:val="clear" w:color="auto" w:fill="FFFFFF"/>
            <w:tcMar>
              <w:top w:w="0" w:type="dxa"/>
              <w:left w:w="0" w:type="dxa"/>
              <w:bottom w:w="0" w:type="dxa"/>
              <w:right w:w="0" w:type="dxa"/>
            </w:tcMar>
            <w:vAlign w:val="center"/>
            <w:hideMark/>
          </w:tcPr>
          <w:p w14:paraId="6E998286" w14:textId="77777777" w:rsidR="00EA19E3" w:rsidRDefault="00EA19E3" w:rsidP="00EA19E3">
            <w:pPr>
              <w:spacing w:after="100" w:line="216" w:lineRule="auto"/>
              <w:ind w:left="100" w:right="100"/>
            </w:pPr>
            <w:r>
              <w:rPr>
                <w:rFonts w:eastAsia="Tw Cen MT" w:cs="Tw Cen MT"/>
                <w:sz w:val="20"/>
                <w:szCs w:val="20"/>
              </w:rPr>
              <w:t xml:space="preserve">The Bay Region </w:t>
            </w:r>
            <w:proofErr w:type="gramStart"/>
            <w:r>
              <w:rPr>
                <w:rFonts w:eastAsia="Tw Cen MT" w:cs="Tw Cen MT"/>
                <w:sz w:val="20"/>
                <w:szCs w:val="20"/>
              </w:rPr>
              <w:t>includes:</w:t>
            </w:r>
            <w:proofErr w:type="gramEnd"/>
            <w:r>
              <w:rPr>
                <w:rFonts w:eastAsia="Tw Cen MT" w:cs="Tw Cen MT"/>
                <w:sz w:val="20"/>
                <w:szCs w:val="20"/>
              </w:rPr>
              <w:t xml:space="preserve"> Alameda, Contra Costa, Marin, Monterey, Napa, San Benito, San Francisco, San Mateo, Santa Clara, Santa Cruz, Solano and Sonoma Counties</w:t>
            </w:r>
          </w:p>
        </w:tc>
      </w:tr>
    </w:tbl>
    <w:p w14:paraId="69668CEA" w14:textId="77777777" w:rsidR="00F97790" w:rsidRDefault="00F97790">
      <w:pPr>
        <w:rPr>
          <w:b/>
          <w:bCs/>
        </w:rPr>
      </w:pPr>
    </w:p>
    <w:p w14:paraId="35571CE6" w14:textId="7F012147" w:rsidR="003354F9" w:rsidRDefault="00000000">
      <w:r>
        <w:rPr>
          <w:b/>
          <w:bCs/>
        </w:rPr>
        <w:t>Table 2. Employment Outlook for AI Design Occupations in the East Bay Sub-Region</w:t>
      </w:r>
    </w:p>
    <w:tbl>
      <w:tblPr>
        <w:tblW w:w="0" w:type="pct"/>
        <w:tblLook w:val="0420" w:firstRow="1" w:lastRow="0" w:firstColumn="0" w:lastColumn="0" w:noHBand="0" w:noVBand="1"/>
      </w:tblPr>
      <w:tblGrid>
        <w:gridCol w:w="1834"/>
        <w:gridCol w:w="792"/>
        <w:gridCol w:w="791"/>
        <w:gridCol w:w="998"/>
        <w:gridCol w:w="1080"/>
        <w:gridCol w:w="1331"/>
        <w:gridCol w:w="1268"/>
        <w:gridCol w:w="1113"/>
        <w:gridCol w:w="1233"/>
      </w:tblGrid>
      <w:tr w:rsidR="003354F9" w14:paraId="3AB3DC67"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FC7DE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7787F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A7B39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A1B62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D580D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BB6E2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7E7A2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221BA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8B2FC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3354F9" w14:paraId="2A2629C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1B1FD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A24B8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388FF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F82F0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31FFA1"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28B1A2"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336E4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1AEFE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73A8F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r>
      <w:tr w:rsidR="003354F9" w14:paraId="5BB6013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1CAE0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Web and Digital Interface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4D1604"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2584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11071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AB84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8C665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707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3EFCA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70A0B1"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D154F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$66</w:t>
            </w:r>
          </w:p>
        </w:tc>
      </w:tr>
      <w:tr w:rsidR="003354F9" w14:paraId="42C3CDC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5A7C1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Graphic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586782"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87D38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CB7C3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972C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65B8A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69AF84"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7F346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0AC212"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3354F9" w14:paraId="6B5FD5E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B4A8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27E09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5,467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DF9A8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5,325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391F0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689A3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F16383"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2,011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83542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402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406BE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777F6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$47</w:t>
            </w:r>
          </w:p>
        </w:tc>
      </w:tr>
      <w:tr w:rsidR="003354F9" w14:paraId="05BE8088"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69DFB4C"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w:t>
            </w:r>
          </w:p>
        </w:tc>
      </w:tr>
      <w:tr w:rsidR="003354F9" w14:paraId="08EC74DE"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855A6C9"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 xml:space="preserve">East Bay Sub-Region </w:t>
            </w:r>
            <w:proofErr w:type="gramStart"/>
            <w:r>
              <w:rPr>
                <w:rFonts w:eastAsia="Tw Cen MT" w:cs="Tw Cen MT"/>
                <w:sz w:val="20"/>
                <w:szCs w:val="20"/>
              </w:rPr>
              <w:t>includes:</w:t>
            </w:r>
            <w:proofErr w:type="gramEnd"/>
            <w:r>
              <w:rPr>
                <w:rFonts w:eastAsia="Tw Cen MT" w:cs="Tw Cen MT"/>
                <w:sz w:val="20"/>
                <w:szCs w:val="20"/>
              </w:rPr>
              <w:t xml:space="preserve"> Alameda, Contra Costa Counties</w:t>
            </w:r>
          </w:p>
        </w:tc>
      </w:tr>
    </w:tbl>
    <w:p w14:paraId="03D23D44" w14:textId="77777777" w:rsidR="00F97790" w:rsidRDefault="00F97790" w:rsidP="0072604A">
      <w:pPr>
        <w:pStyle w:val="Heading3"/>
        <w:spacing w:before="0" w:line="360" w:lineRule="auto"/>
      </w:pPr>
      <w:bookmarkStart w:id="5" w:name="Xf95cf16f56f55819fb1c759123cf4b443ab662e"/>
    </w:p>
    <w:p w14:paraId="724C2843" w14:textId="1E38CB0C" w:rsidR="003354F9" w:rsidRDefault="00000000" w:rsidP="0072604A">
      <w:pPr>
        <w:pStyle w:val="Heading3"/>
        <w:spacing w:before="0" w:line="360" w:lineRule="auto"/>
      </w:pPr>
      <w:r>
        <w:t>Job Postings in the Bay Region and East Bay Sub-Region</w:t>
      </w:r>
    </w:p>
    <w:p w14:paraId="6EB17458" w14:textId="77777777" w:rsidR="003354F9" w:rsidRDefault="00000000">
      <w:r>
        <w:rPr>
          <w:b/>
          <w:bCs/>
        </w:rPr>
        <w:t xml:space="preserve">Table 3. Number of Job Postings by Occupation for the </w:t>
      </w:r>
      <w:proofErr w:type="gramStart"/>
      <w:r>
        <w:rPr>
          <w:b/>
          <w:bCs/>
        </w:rPr>
        <w:t>latest</w:t>
      </w:r>
      <w:proofErr w:type="gramEnd"/>
      <w:r>
        <w:rPr>
          <w:b/>
          <w:bCs/>
        </w:rPr>
        <w:t xml:space="preserve"> 12 months</w:t>
      </w:r>
    </w:p>
    <w:tbl>
      <w:tblPr>
        <w:tblW w:w="0" w:type="pct"/>
        <w:tblLook w:val="0420" w:firstRow="1" w:lastRow="0" w:firstColumn="0" w:lastColumn="0" w:noHBand="0" w:noVBand="1"/>
      </w:tblPr>
      <w:tblGrid>
        <w:gridCol w:w="3750"/>
        <w:gridCol w:w="1320"/>
        <w:gridCol w:w="1039"/>
      </w:tblGrid>
      <w:tr w:rsidR="003354F9" w14:paraId="0F363F5E"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C9444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4D892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934E7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3354F9" w14:paraId="4787359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29B09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and Digital Interface Designers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68A0F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6,135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322B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583</w:t>
            </w:r>
          </w:p>
        </w:tc>
      </w:tr>
      <w:tr w:rsidR="003354F9" w14:paraId="1C21323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20F39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Graphic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2EF2F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B4C7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143</w:t>
            </w:r>
          </w:p>
        </w:tc>
      </w:tr>
      <w:tr w:rsidR="003354F9" w14:paraId="7F5F87E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8F6E2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Network Support Specialists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81744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57BFA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173</w:t>
            </w:r>
          </w:p>
        </w:tc>
      </w:tr>
      <w:tr w:rsidR="003354F9" w14:paraId="3182C9E0"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ECE7BC"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122F3132" w14:textId="77777777" w:rsidR="00F97790" w:rsidRDefault="00F97790">
      <w:pPr>
        <w:rPr>
          <w:b/>
          <w:bCs/>
        </w:rPr>
      </w:pPr>
    </w:p>
    <w:p w14:paraId="01876128" w14:textId="33850C22" w:rsidR="003354F9" w:rsidRDefault="00000000">
      <w:r>
        <w:rPr>
          <w:b/>
          <w:bCs/>
        </w:rPr>
        <w:t>Table 4a. Top Job Titles in Job Postings for AI Design Occupations in the Bay Region</w:t>
      </w:r>
    </w:p>
    <w:tbl>
      <w:tblPr>
        <w:tblW w:w="0" w:type="pct"/>
        <w:tblLook w:val="0420" w:firstRow="1" w:lastRow="0" w:firstColumn="0" w:lastColumn="0" w:noHBand="0" w:noVBand="1"/>
      </w:tblPr>
      <w:tblGrid>
        <w:gridCol w:w="2546"/>
        <w:gridCol w:w="580"/>
        <w:gridCol w:w="2418"/>
        <w:gridCol w:w="565"/>
      </w:tblGrid>
      <w:tr w:rsidR="003354F9" w14:paraId="0A53FD0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A6F9A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C41F0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E7776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5DBBFA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3354F9" w14:paraId="20ABAC23"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1DBDB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Designers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50C9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C0221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 Developers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E9B40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r>
      <w:tr w:rsidR="003354F9" w14:paraId="281C854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7746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Researchers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39C03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90CF8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Design Principals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76796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w:t>
            </w:r>
          </w:p>
        </w:tc>
      </w:tr>
      <w:tr w:rsidR="003354F9" w14:paraId="6AC5D36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32410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F6490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5D031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Experience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4D3A6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r>
      <w:tr w:rsidR="003354F9" w14:paraId="71F363E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4C4F1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Graphic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84020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4D742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6D877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r>
      <w:tr w:rsidR="003354F9" w14:paraId="4AD23CC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4D910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UI/UX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C1A53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EC097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Visual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3510C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r>
      <w:tr w:rsidR="003354F9" w14:paraId="7E6156E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7249A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Experience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81523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3B858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7DA64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w:t>
            </w:r>
          </w:p>
        </w:tc>
      </w:tr>
      <w:tr w:rsidR="003354F9" w14:paraId="2CCA072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50871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Interaction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5BFBE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DB0EA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CDF8A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r>
      <w:tr w:rsidR="003354F9" w14:paraId="571D7F6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8111C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Content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3B20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21428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UX Researchers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0237A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r>
      <w:tr w:rsidR="003354F9" w14:paraId="12A0705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AE1AD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 Engineers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48845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090BF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Quantitative Researchers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1BE15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r>
      <w:tr w:rsidR="003354F9" w14:paraId="6EDF2293"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029A1D"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20D00AA9" w14:textId="77777777" w:rsidR="00F97790" w:rsidRDefault="00F97790">
      <w:pPr>
        <w:rPr>
          <w:b/>
          <w:bCs/>
        </w:rPr>
      </w:pPr>
    </w:p>
    <w:p w14:paraId="013E4BA8" w14:textId="377F1186" w:rsidR="003354F9" w:rsidRDefault="00000000">
      <w:r>
        <w:rPr>
          <w:b/>
          <w:bCs/>
        </w:rPr>
        <w:t>Table 4b. Top Job Titles in Job Posting for AI Design Occupations in the East Bay Sub-Region</w:t>
      </w:r>
    </w:p>
    <w:tbl>
      <w:tblPr>
        <w:tblW w:w="0" w:type="pct"/>
        <w:tblLook w:val="0420" w:firstRow="1" w:lastRow="0" w:firstColumn="0" w:lastColumn="0" w:noHBand="0" w:noVBand="1"/>
      </w:tblPr>
      <w:tblGrid>
        <w:gridCol w:w="2405"/>
        <w:gridCol w:w="946"/>
        <w:gridCol w:w="2612"/>
        <w:gridCol w:w="946"/>
      </w:tblGrid>
      <w:tr w:rsidR="003354F9" w14:paraId="1E709564"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E90F0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F22C5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59C4F7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A148B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3354F9" w14:paraId="6256848E"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1FD42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Graphic Designers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1B9AB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0A31B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Technicians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2158B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r>
      <w:tr w:rsidR="003354F9" w14:paraId="0904CD9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282E6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87FD3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09960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CE224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r>
      <w:tr w:rsidR="003354F9" w14:paraId="71C17D3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4EDEC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C4A35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A81B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Game Masters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1020A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r>
      <w:tr w:rsidR="003354F9" w14:paraId="3746459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ED529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UI/UX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8639E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6844F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2A568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r>
      <w:tr w:rsidR="003354F9" w14:paraId="573C65F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E9B0A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Experience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2B43A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CFF61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UX Researchers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21FEE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0A44A2A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1FA4C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 Developers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01DC3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69BCA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PM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769BD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52A496A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1FBE1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Researchers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CBB29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F6D4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UX Product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60F50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1798573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597B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09D65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6FB9E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and Graphic Designers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3C33B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16CA5D7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57604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Technicians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15689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598EA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Product Designers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C20F1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3354F9" w14:paraId="119B2E37"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6FA1B3"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72E347E6" w14:textId="77777777" w:rsidR="00F97790" w:rsidRDefault="00F97790" w:rsidP="0072604A">
      <w:pPr>
        <w:pStyle w:val="Heading2"/>
        <w:spacing w:before="0" w:line="360" w:lineRule="auto"/>
      </w:pPr>
      <w:bookmarkStart w:id="6" w:name="industry-concentration"/>
      <w:bookmarkEnd w:id="4"/>
      <w:bookmarkEnd w:id="5"/>
    </w:p>
    <w:p w14:paraId="0948B3E6" w14:textId="6835CC16" w:rsidR="003354F9" w:rsidRDefault="00000000" w:rsidP="0072604A">
      <w:pPr>
        <w:pStyle w:val="Heading2"/>
        <w:spacing w:before="0" w:line="360" w:lineRule="auto"/>
      </w:pPr>
      <w:r>
        <w:t>Industry Concentration</w:t>
      </w:r>
    </w:p>
    <w:p w14:paraId="452A2FB5" w14:textId="77777777" w:rsidR="003354F9" w:rsidRDefault="00000000">
      <w:r>
        <w:rPr>
          <w:b/>
          <w:bCs/>
        </w:rPr>
        <w:t>Table 5. Industries Hiring for AI Design Occupations in the Bay Region</w:t>
      </w:r>
    </w:p>
    <w:tbl>
      <w:tblPr>
        <w:tblW w:w="0" w:type="pct"/>
        <w:tblLook w:val="0420" w:firstRow="1" w:lastRow="0" w:firstColumn="0" w:lastColumn="0" w:noHBand="0" w:noVBand="1"/>
      </w:tblPr>
      <w:tblGrid>
        <w:gridCol w:w="4256"/>
        <w:gridCol w:w="1392"/>
        <w:gridCol w:w="1392"/>
        <w:gridCol w:w="1300"/>
        <w:gridCol w:w="2100"/>
      </w:tblGrid>
      <w:tr w:rsidR="003354F9" w14:paraId="211C308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75129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56EA8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D70BF9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740A9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C7BFF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3354F9" w14:paraId="5C8D5573"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ECE6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C084E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3,091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B7830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3,343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2BBAE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AF063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3354F9" w14:paraId="10848A4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13F9D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Software Publishers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64778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499E3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47F56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9E648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6E54BAD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B8C45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Graphic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50361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36C71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0E84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5B5EE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58C2FAD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903AF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 Streaming Distribution Services, Social Networks, and Other Media Networks and Content Providers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321E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A92EC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75670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FE81B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3354F9" w14:paraId="7568C7D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1E984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Interior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C5754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1CEB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3D76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FABE7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3354F9" w14:paraId="1507E82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C79EB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1501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0B3CC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26983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AB848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3354F9" w14:paraId="7336A91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61707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235DD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D3E35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C5391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2C72A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3354F9" w14:paraId="58BE1C6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02858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C9EE6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CBB52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F10A1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D9A8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3354F9" w14:paraId="51F00A7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3D8A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AB84F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17D83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CE4E2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9A2E5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3354F9" w14:paraId="01C8FBE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CEF2D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46FA0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F187F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F9523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D44E3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3354F9" w14:paraId="0385E202"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74379B"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w:t>
            </w:r>
          </w:p>
        </w:tc>
      </w:tr>
    </w:tbl>
    <w:p w14:paraId="7D0FFF54" w14:textId="77777777" w:rsidR="00F97790" w:rsidRDefault="00F97790">
      <w:pPr>
        <w:rPr>
          <w:b/>
          <w:bCs/>
        </w:rPr>
      </w:pPr>
    </w:p>
    <w:p w14:paraId="423C2B66" w14:textId="144A2F94" w:rsidR="003354F9" w:rsidRDefault="00000000">
      <w:r>
        <w:rPr>
          <w:b/>
          <w:bCs/>
        </w:rPr>
        <w:t>Table 6. Top Employers Posting AI Design Occupations in the Bay Region and the East Bay Sub-Region</w:t>
      </w:r>
    </w:p>
    <w:tbl>
      <w:tblPr>
        <w:tblW w:w="0" w:type="pct"/>
        <w:tblLook w:val="0420" w:firstRow="1" w:lastRow="0" w:firstColumn="0" w:lastColumn="0" w:noHBand="0" w:noVBand="1"/>
      </w:tblPr>
      <w:tblGrid>
        <w:gridCol w:w="1023"/>
        <w:gridCol w:w="548"/>
        <w:gridCol w:w="3635"/>
        <w:gridCol w:w="946"/>
      </w:tblGrid>
      <w:tr w:rsidR="003354F9" w14:paraId="7B9D3A12"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959C0E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49719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396D53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7E7D6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3354F9" w14:paraId="6DFBDE94"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C9AF1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4EC43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CA816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Robert Half</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D2CC7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r>
      <w:tr w:rsidR="003354F9" w14:paraId="4A48E5B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96C7A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77380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AE1C7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Lawrence Livermore National Laboratory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8707F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3354F9" w14:paraId="5AC6EFC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A2B38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CDB4B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9A50D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Merit America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1CB7E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3354F9" w14:paraId="1C12EE0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EA8D1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33DB0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67CCA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Walmart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2211D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r>
      <w:tr w:rsidR="003354F9" w14:paraId="4878B01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42274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Aquent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E8E8F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E2B5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Abbott Laboratories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1179C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r>
      <w:tr w:rsidR="003354F9" w14:paraId="2258537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08271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PayPal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CF804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7A14F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Insight Global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831F6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r>
      <w:tr w:rsidR="003354F9" w14:paraId="17A7DD93"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86B3AE"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7FA44F85" w14:textId="77777777" w:rsidR="00F97790" w:rsidRDefault="00F97790" w:rsidP="0072604A">
      <w:pPr>
        <w:pStyle w:val="Heading2"/>
        <w:spacing w:before="0" w:line="360" w:lineRule="auto"/>
      </w:pPr>
      <w:bookmarkStart w:id="7" w:name="educational-supply"/>
      <w:bookmarkEnd w:id="6"/>
    </w:p>
    <w:p w14:paraId="1DEC0F32" w14:textId="69C32D0E" w:rsidR="003354F9" w:rsidRDefault="00000000" w:rsidP="0072604A">
      <w:pPr>
        <w:pStyle w:val="Heading2"/>
        <w:spacing w:before="0" w:line="360" w:lineRule="auto"/>
      </w:pPr>
      <w:r>
        <w:t>Educational Supply</w:t>
      </w:r>
    </w:p>
    <w:p w14:paraId="040FACE3" w14:textId="1D6D1C76" w:rsidR="003354F9" w:rsidRDefault="00000000">
      <w:r>
        <w:t xml:space="preserve">There are </w:t>
      </w:r>
      <w:r w:rsidR="00F97790">
        <w:t xml:space="preserve">ten </w:t>
      </w:r>
      <w:r>
        <w:t xml:space="preserve">community colleges in the Bay Region issuing 102 awards on average annually (last 3 years ending 2023-24) on TOP 0614.00 - Digital Media. In the East Bay Sub-Region, there </w:t>
      </w:r>
      <w:r w:rsidR="00F97790">
        <w:t xml:space="preserve">are three </w:t>
      </w:r>
      <w:r>
        <w:t>community colleges that issued 2</w:t>
      </w:r>
      <w:r w:rsidR="00F97790">
        <w:t xml:space="preserve">4 </w:t>
      </w:r>
      <w:r>
        <w:t>awards on average annually (last 3 years) on this TOP code.</w:t>
      </w:r>
    </w:p>
    <w:p w14:paraId="0B85668B" w14:textId="0CD5DDF0" w:rsidR="00475D0A" w:rsidRPr="00782461" w:rsidRDefault="00475D0A" w:rsidP="00475D0A">
      <w:pPr>
        <w:rPr>
          <w:color w:val="1C1C1C" w:themeColor="text1"/>
        </w:rPr>
      </w:pPr>
      <w:r w:rsidRPr="00782461">
        <w:rPr>
          <w:color w:val="1C1C1C" w:themeColor="text1"/>
        </w:rPr>
        <w:t xml:space="preserve">There are </w:t>
      </w:r>
      <w:r w:rsidR="00782461" w:rsidRPr="00782461">
        <w:rPr>
          <w:color w:val="1C1C1C" w:themeColor="text1"/>
        </w:rPr>
        <w:t>two</w:t>
      </w:r>
      <w:r w:rsidRPr="00782461">
        <w:rPr>
          <w:color w:val="1C1C1C" w:themeColor="text1"/>
        </w:rPr>
        <w:t xml:space="preserve"> other CTE educational institutions in the Bay Region issuing </w:t>
      </w:r>
      <w:r w:rsidR="00782461" w:rsidRPr="00782461">
        <w:rPr>
          <w:color w:val="1C1C1C" w:themeColor="text1"/>
        </w:rPr>
        <w:t>24</w:t>
      </w:r>
      <w:r w:rsidRPr="00782461">
        <w:rPr>
          <w:color w:val="1C1C1C" w:themeColor="text1"/>
        </w:rPr>
        <w:t xml:space="preserve"> awards on average annually (last 3 years ending 2022-23) on CIP 09.0702–Digital Communication and Media/Multimedia There is </w:t>
      </w:r>
      <w:r w:rsidR="00782461" w:rsidRPr="00782461">
        <w:rPr>
          <w:color w:val="1C1C1C" w:themeColor="text1"/>
        </w:rPr>
        <w:t>one</w:t>
      </w:r>
      <w:r w:rsidRPr="00782461">
        <w:rPr>
          <w:color w:val="1C1C1C" w:themeColor="text1"/>
        </w:rPr>
        <w:t xml:space="preserve"> other CTE educational institution in the East Bay Sub-Region issuing 1 award on average annually (last 3 years) on this CIP code.</w:t>
      </w:r>
    </w:p>
    <w:p w14:paraId="7112091B" w14:textId="2DF7368A" w:rsidR="003354F9" w:rsidRPr="00F97790" w:rsidRDefault="00000000">
      <w:pPr>
        <w:rPr>
          <w:b/>
          <w:bCs/>
        </w:rPr>
      </w:pPr>
      <w:r w:rsidRPr="00F97790">
        <w:rPr>
          <w:b/>
          <w:bCs/>
        </w:rPr>
        <w:t>Table 7</w:t>
      </w:r>
      <w:r w:rsidR="00475D0A">
        <w:rPr>
          <w:b/>
          <w:bCs/>
        </w:rPr>
        <w:t>a</w:t>
      </w:r>
      <w:r w:rsidRPr="00F97790">
        <w:rPr>
          <w:b/>
          <w:bCs/>
        </w:rPr>
        <w:t>. Community College Awards on TOP 0614.00 - _Digital Media in the Bay Region</w:t>
      </w:r>
    </w:p>
    <w:tbl>
      <w:tblPr>
        <w:tblW w:w="4053" w:type="pct"/>
        <w:tblLook w:val="0420" w:firstRow="1" w:lastRow="0" w:firstColumn="0" w:lastColumn="0" w:noHBand="0" w:noVBand="1"/>
      </w:tblPr>
      <w:tblGrid>
        <w:gridCol w:w="1159"/>
        <w:gridCol w:w="1158"/>
        <w:gridCol w:w="1709"/>
        <w:gridCol w:w="1924"/>
        <w:gridCol w:w="1881"/>
        <w:gridCol w:w="632"/>
      </w:tblGrid>
      <w:tr w:rsidR="003354F9" w14:paraId="74557FFD" w14:textId="77777777" w:rsidTr="00475D0A">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F43F5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2E505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FCDA0E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roofErr w:type="gramStart"/>
            <w:r>
              <w:rPr>
                <w:rFonts w:eastAsia="Tw Cen MT" w:cs="Tw Cen MT"/>
                <w:b/>
                <w:sz w:val="21"/>
                <w:szCs w:val="21"/>
              </w:rPr>
              <w:t>Associate Degree</w:t>
            </w:r>
            <w:proofErr w:type="gramEnd"/>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A2A2B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486C4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6E523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3354F9" w14:paraId="603FB535" w14:textId="77777777" w:rsidTr="00475D0A">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1C15F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Berkeley City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3140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A3F09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5286F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11441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6F132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3354F9" w14:paraId="068B71E8"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17A8D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B614B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4619B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5605E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2E63F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BEA34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r>
      <w:tr w:rsidR="003354F9" w14:paraId="18BB4075"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9D75D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Canada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BED1E2"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86B2F3"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8C0B0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9054A7"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0C523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3354F9" w14:paraId="6A4AA382"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A4839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Chabot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A50A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D564C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88B43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75534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07B8D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r>
      <w:tr w:rsidR="003354F9" w14:paraId="3BFE826E"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6FB427"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5F14A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A85EB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46DC6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82961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C3CF8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3354F9" w14:paraId="74F37C21"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E9BD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0E4853"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9663A"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D3A34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2AA27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A7B5B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r>
      <w:tr w:rsidR="003354F9" w14:paraId="0F47B4EC"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EDFCD8"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09B1E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F9BC2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B540C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83B75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1D475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r>
      <w:tr w:rsidR="003354F9" w14:paraId="0113C043"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F4780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AEA56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0B2A1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5B9D5B"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B0B1C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A20E84"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3354F9" w14:paraId="75881276"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C389C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8A77E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6DD04"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F9C53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0F76F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54C7F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3354F9" w14:paraId="5E791ECB" w14:textId="77777777" w:rsidTr="00475D0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3940DE"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7A2BD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F08A81"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FE7651"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0DDA37"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795330"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r>
      <w:tr w:rsidR="003354F9" w14:paraId="46F9964C" w14:textId="77777777" w:rsidTr="00475D0A">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9F411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90E60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D63A44"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862FB9"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E1B10F"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52790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102</w:t>
            </w:r>
          </w:p>
        </w:tc>
      </w:tr>
      <w:tr w:rsidR="003354F9" w14:paraId="757DC7A0" w14:textId="77777777" w:rsidTr="00475D0A">
        <w:tc>
          <w:tcPr>
            <w:tcW w:w="0" w:type="auto"/>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007C782"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Data Mart</w:t>
            </w:r>
          </w:p>
        </w:tc>
      </w:tr>
      <w:tr w:rsidR="003354F9" w14:paraId="07900D71" w14:textId="77777777" w:rsidTr="00475D0A">
        <w:tc>
          <w:tcPr>
            <w:tcW w:w="0" w:type="auto"/>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56039A3"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Note: The annual average for awards is 2021-22 to 2023-24.</w:t>
            </w:r>
          </w:p>
        </w:tc>
      </w:tr>
    </w:tbl>
    <w:p w14:paraId="773BBAAF" w14:textId="77777777" w:rsidR="00475D0A" w:rsidRPr="00475D0A" w:rsidRDefault="00475D0A" w:rsidP="00475D0A">
      <w:pPr>
        <w:spacing w:before="240"/>
        <w:rPr>
          <w:rFonts w:eastAsia="Tw Cen MT"/>
        </w:rPr>
      </w:pPr>
      <w:r w:rsidRPr="00475D0A">
        <w:rPr>
          <w:rFonts w:eastAsia="Tw Cen MT"/>
          <w:b/>
          <w:bCs/>
        </w:rPr>
        <w:t>Table 7b. Other CTE Institutions Awards on CIP 09.0702–Digital Communication and Media/Multimedia in the Bay Region</w:t>
      </w:r>
    </w:p>
    <w:tbl>
      <w:tblPr>
        <w:tblW w:w="3056" w:type="pct"/>
        <w:tblInd w:w="-108" w:type="dxa"/>
        <w:tblLook w:val="0420" w:firstRow="1" w:lastRow="0" w:firstColumn="0" w:lastColumn="0" w:noHBand="0" w:noVBand="1"/>
      </w:tblPr>
      <w:tblGrid>
        <w:gridCol w:w="2452"/>
        <w:gridCol w:w="1290"/>
        <w:gridCol w:w="1935"/>
        <w:gridCol w:w="704"/>
      </w:tblGrid>
      <w:tr w:rsidR="00782461" w:rsidRPr="00475D0A" w14:paraId="3584B48E" w14:textId="77777777" w:rsidTr="00782461">
        <w:trPr>
          <w:tblHeader/>
        </w:trPr>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4975CFD3" w14:textId="77777777" w:rsidR="00782461" w:rsidRPr="00475D0A" w:rsidRDefault="00782461" w:rsidP="00475D0A">
            <w:pPr>
              <w:spacing w:before="100" w:after="100" w:line="240" w:lineRule="auto"/>
              <w:ind w:left="100" w:right="100"/>
              <w:rPr>
                <w:rFonts w:eastAsia="Tw Cen MT"/>
              </w:rPr>
            </w:pPr>
            <w:r w:rsidRPr="00475D0A">
              <w:rPr>
                <w:rFonts w:eastAsia="Tw Cen MT" w:cs="Tw Cen MT"/>
                <w:b/>
                <w:sz w:val="21"/>
                <w:szCs w:val="21"/>
              </w:rPr>
              <w:t>College</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47B29C0E" w14:textId="77777777" w:rsidR="00782461" w:rsidRPr="00475D0A" w:rsidRDefault="00782461" w:rsidP="00475D0A">
            <w:pPr>
              <w:spacing w:before="100" w:after="100" w:line="240" w:lineRule="auto"/>
              <w:ind w:left="100" w:right="100"/>
              <w:rPr>
                <w:rFonts w:eastAsia="Tw Cen MT"/>
              </w:rPr>
            </w:pPr>
            <w:r w:rsidRPr="00475D0A">
              <w:rPr>
                <w:rFonts w:eastAsia="Tw Cen MT" w:cs="Tw Cen MT"/>
                <w:b/>
                <w:sz w:val="21"/>
                <w:szCs w:val="21"/>
              </w:rPr>
              <w:t>Subregion</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2A19AD17" w14:textId="77777777" w:rsidR="00782461" w:rsidRPr="00475D0A" w:rsidRDefault="00782461" w:rsidP="00475D0A">
            <w:pPr>
              <w:spacing w:before="100" w:after="100" w:line="240" w:lineRule="auto"/>
              <w:ind w:left="100" w:right="100"/>
              <w:jc w:val="center"/>
              <w:rPr>
                <w:rFonts w:eastAsia="Tw Cen MT"/>
              </w:rPr>
            </w:pPr>
            <w:r w:rsidRPr="00475D0A">
              <w:rPr>
                <w:rFonts w:eastAsia="Tw Cen MT" w:cs="Tw Cen MT"/>
                <w:b/>
                <w:sz w:val="21"/>
                <w:szCs w:val="21"/>
              </w:rPr>
              <w:t>Bachelor's degree</w:t>
            </w:r>
          </w:p>
        </w:tc>
        <w:tc>
          <w:tcPr>
            <w:tcW w:w="0" w:type="auto"/>
            <w:tcBorders>
              <w:top w:val="single" w:sz="12" w:space="0" w:color="666666"/>
              <w:left w:val="nil"/>
              <w:bottom w:val="single" w:sz="12" w:space="0" w:color="666666"/>
              <w:right w:val="nil"/>
            </w:tcBorders>
            <w:shd w:val="clear" w:color="auto" w:fill="DDED7A"/>
            <w:tcMar>
              <w:top w:w="0" w:type="dxa"/>
              <w:left w:w="0" w:type="dxa"/>
              <w:bottom w:w="0" w:type="dxa"/>
              <w:right w:w="0" w:type="dxa"/>
            </w:tcMar>
            <w:vAlign w:val="center"/>
            <w:hideMark/>
          </w:tcPr>
          <w:p w14:paraId="6C167B4A" w14:textId="77777777" w:rsidR="00782461" w:rsidRPr="00475D0A" w:rsidRDefault="00782461" w:rsidP="00475D0A">
            <w:pPr>
              <w:spacing w:before="100" w:after="100" w:line="240" w:lineRule="auto"/>
              <w:ind w:left="100" w:right="100"/>
              <w:jc w:val="center"/>
              <w:rPr>
                <w:rFonts w:eastAsia="Tw Cen MT"/>
              </w:rPr>
            </w:pPr>
            <w:r w:rsidRPr="00475D0A">
              <w:rPr>
                <w:rFonts w:eastAsia="Tw Cen MT" w:cs="Tw Cen MT"/>
                <w:b/>
                <w:sz w:val="21"/>
                <w:szCs w:val="21"/>
              </w:rPr>
              <w:t>Total</w:t>
            </w:r>
          </w:p>
        </w:tc>
      </w:tr>
      <w:tr w:rsidR="00782461" w:rsidRPr="00475D0A" w14:paraId="7F98DF27" w14:textId="77777777" w:rsidTr="00782461">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3F0F6A00" w14:textId="77777777" w:rsidR="00782461" w:rsidRPr="00475D0A" w:rsidRDefault="00782461" w:rsidP="00782461">
            <w:pPr>
              <w:spacing w:after="0" w:line="240" w:lineRule="auto"/>
              <w:rPr>
                <w:rFonts w:eastAsia="Tw Cen MT"/>
              </w:rPr>
            </w:pPr>
            <w:r w:rsidRPr="00475D0A">
              <w:rPr>
                <w:rFonts w:eastAsia="Tw Cen MT" w:cs="Tw Cen MT"/>
                <w:sz w:val="21"/>
                <w:szCs w:val="21"/>
              </w:rPr>
              <w:t>Academy of Art University</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4D62679A" w14:textId="77777777" w:rsidR="00782461" w:rsidRPr="00475D0A" w:rsidRDefault="00782461" w:rsidP="00782461">
            <w:pPr>
              <w:spacing w:after="0" w:line="240" w:lineRule="auto"/>
              <w:rPr>
                <w:rFonts w:eastAsia="Tw Cen MT"/>
              </w:rPr>
            </w:pPr>
            <w:r w:rsidRPr="00475D0A">
              <w:rPr>
                <w:rFonts w:eastAsia="Tw Cen MT" w:cs="Tw Cen MT"/>
                <w:sz w:val="21"/>
                <w:szCs w:val="21"/>
              </w:rPr>
              <w:t>Mid-Peninsula</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532D6479" w14:textId="77777777" w:rsidR="00782461" w:rsidRPr="00475D0A" w:rsidRDefault="00782461" w:rsidP="00782461">
            <w:pPr>
              <w:spacing w:after="0" w:line="240" w:lineRule="auto"/>
              <w:jc w:val="center"/>
              <w:rPr>
                <w:rFonts w:eastAsia="Tw Cen MT"/>
              </w:rPr>
            </w:pPr>
            <w:r w:rsidRPr="00475D0A">
              <w:rPr>
                <w:rFonts w:eastAsia="Tw Cen MT" w:cs="Tw Cen MT"/>
                <w:sz w:val="21"/>
                <w:szCs w:val="21"/>
              </w:rPr>
              <w:t>23</w:t>
            </w:r>
          </w:p>
        </w:tc>
        <w:tc>
          <w:tcPr>
            <w:tcW w:w="0" w:type="auto"/>
            <w:tcBorders>
              <w:top w:val="single" w:sz="12"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7CDB2EA1" w14:textId="4547B827" w:rsidR="00782461" w:rsidRPr="00475D0A" w:rsidRDefault="00782461" w:rsidP="00782461">
            <w:pPr>
              <w:spacing w:after="0" w:line="240" w:lineRule="auto"/>
              <w:jc w:val="center"/>
              <w:rPr>
                <w:rFonts w:eastAsia="Tw Cen MT"/>
              </w:rPr>
            </w:pPr>
            <w:r w:rsidRPr="00475D0A">
              <w:rPr>
                <w:rFonts w:eastAsia="Tw Cen MT" w:cs="Tw Cen MT"/>
                <w:sz w:val="21"/>
                <w:szCs w:val="21"/>
              </w:rPr>
              <w:t>23</w:t>
            </w:r>
          </w:p>
        </w:tc>
      </w:tr>
      <w:tr w:rsidR="00782461" w:rsidRPr="00475D0A" w14:paraId="40F1584D" w14:textId="77777777" w:rsidTr="00782461">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26B5E75C" w14:textId="77777777" w:rsidR="00782461" w:rsidRPr="00475D0A" w:rsidRDefault="00782461" w:rsidP="00782461">
            <w:pPr>
              <w:spacing w:after="0" w:line="240" w:lineRule="auto"/>
              <w:rPr>
                <w:rFonts w:eastAsia="Tw Cen MT"/>
              </w:rPr>
            </w:pPr>
            <w:r w:rsidRPr="00475D0A">
              <w:rPr>
                <w:rFonts w:eastAsia="Tw Cen MT" w:cs="Tw Cen MT"/>
                <w:sz w:val="21"/>
                <w:szCs w:val="21"/>
              </w:rPr>
              <w:t>Holy Names University</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2B798891" w14:textId="77777777" w:rsidR="00782461" w:rsidRPr="00475D0A" w:rsidRDefault="00782461" w:rsidP="00782461">
            <w:pPr>
              <w:spacing w:after="0" w:line="240" w:lineRule="auto"/>
              <w:rPr>
                <w:rFonts w:eastAsia="Tw Cen MT"/>
              </w:rPr>
            </w:pPr>
            <w:r w:rsidRPr="00475D0A">
              <w:rPr>
                <w:rFonts w:eastAsia="Tw Cen MT" w:cs="Tw Cen MT"/>
                <w:sz w:val="21"/>
                <w:szCs w:val="21"/>
              </w:rPr>
              <w:t>East Bay</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7078FBD6" w14:textId="77777777" w:rsidR="00782461" w:rsidRPr="00475D0A" w:rsidRDefault="00782461" w:rsidP="00782461">
            <w:pPr>
              <w:spacing w:after="0" w:line="240" w:lineRule="auto"/>
              <w:jc w:val="center"/>
              <w:rPr>
                <w:rFonts w:eastAsia="Tw Cen MT"/>
              </w:rPr>
            </w:pPr>
            <w:r w:rsidRPr="00475D0A">
              <w:rPr>
                <w:rFonts w:eastAsia="Tw Cen MT" w:cs="Tw Cen MT"/>
                <w:sz w:val="21"/>
                <w:szCs w:val="21"/>
              </w:rPr>
              <w:t>1</w:t>
            </w:r>
          </w:p>
        </w:tc>
        <w:tc>
          <w:tcPr>
            <w:tcW w:w="0" w:type="auto"/>
            <w:tcBorders>
              <w:top w:val="single" w:sz="6" w:space="0" w:color="666666"/>
              <w:left w:val="nil"/>
              <w:bottom w:val="single" w:sz="6" w:space="0" w:color="666666"/>
              <w:right w:val="nil"/>
            </w:tcBorders>
            <w:shd w:val="clear" w:color="auto" w:fill="FFFFFF"/>
            <w:tcMar>
              <w:top w:w="0" w:type="dxa"/>
              <w:left w:w="0" w:type="dxa"/>
              <w:bottom w:w="0" w:type="dxa"/>
              <w:right w:w="0" w:type="dxa"/>
            </w:tcMar>
            <w:vAlign w:val="center"/>
            <w:hideMark/>
          </w:tcPr>
          <w:p w14:paraId="11428B94" w14:textId="55D032E4" w:rsidR="00782461" w:rsidRPr="00475D0A" w:rsidRDefault="00782461" w:rsidP="00782461">
            <w:pPr>
              <w:spacing w:after="0" w:line="240" w:lineRule="auto"/>
              <w:jc w:val="center"/>
              <w:rPr>
                <w:rFonts w:eastAsia="Tw Cen MT"/>
              </w:rPr>
            </w:pPr>
            <w:r w:rsidRPr="00475D0A">
              <w:rPr>
                <w:rFonts w:eastAsia="Tw Cen MT" w:cs="Tw Cen MT"/>
                <w:sz w:val="21"/>
                <w:szCs w:val="21"/>
              </w:rPr>
              <w:t>1</w:t>
            </w:r>
          </w:p>
        </w:tc>
      </w:tr>
      <w:tr w:rsidR="00782461" w:rsidRPr="00475D0A" w14:paraId="1B7AFFCD" w14:textId="77777777" w:rsidTr="00782461">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6B3B5E75" w14:textId="77777777" w:rsidR="00782461" w:rsidRPr="00475D0A" w:rsidRDefault="00782461" w:rsidP="00782461">
            <w:pPr>
              <w:spacing w:after="0" w:line="240" w:lineRule="auto"/>
              <w:rPr>
                <w:rFonts w:eastAsia="Tw Cen MT"/>
              </w:rPr>
            </w:pPr>
            <w:r w:rsidRPr="00475D0A">
              <w:rPr>
                <w:rFonts w:eastAsia="Tw Cen MT" w:cs="Tw Cen MT"/>
                <w:b/>
                <w:sz w:val="21"/>
                <w:szCs w:val="21"/>
              </w:rPr>
              <w:t>Total</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5FA3A2CA" w14:textId="77777777" w:rsidR="00782461" w:rsidRPr="00475D0A" w:rsidRDefault="00782461" w:rsidP="00782461">
            <w:pPr>
              <w:spacing w:after="0" w:line="240" w:lineRule="auto"/>
              <w:rPr>
                <w:rFonts w:eastAsia="Tw Cen MT"/>
              </w:rPr>
            </w:pPr>
            <w:r w:rsidRPr="00475D0A">
              <w:rPr>
                <w:rFonts w:eastAsia="Tw Cen MT" w:cs="Tw Cen MT"/>
                <w:b/>
                <w:sz w:val="21"/>
                <w:szCs w:val="21"/>
              </w:rPr>
              <w:t>-</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23A91BFE" w14:textId="77777777" w:rsidR="00782461" w:rsidRPr="00475D0A" w:rsidRDefault="00782461" w:rsidP="00782461">
            <w:pPr>
              <w:spacing w:after="0" w:line="240" w:lineRule="auto"/>
              <w:jc w:val="center"/>
              <w:rPr>
                <w:rFonts w:eastAsia="Tw Cen MT"/>
              </w:rPr>
            </w:pPr>
            <w:r w:rsidRPr="00475D0A">
              <w:rPr>
                <w:rFonts w:eastAsia="Tw Cen MT" w:cs="Tw Cen MT"/>
                <w:b/>
                <w:sz w:val="21"/>
                <w:szCs w:val="21"/>
              </w:rPr>
              <w:t>24</w:t>
            </w:r>
          </w:p>
        </w:tc>
        <w:tc>
          <w:tcPr>
            <w:tcW w:w="0" w:type="auto"/>
            <w:tcBorders>
              <w:top w:val="single" w:sz="6" w:space="0" w:color="666666"/>
              <w:left w:val="nil"/>
              <w:bottom w:val="single" w:sz="12" w:space="0" w:color="666666"/>
              <w:right w:val="nil"/>
            </w:tcBorders>
            <w:shd w:val="clear" w:color="auto" w:fill="FFFFFF"/>
            <w:tcMar>
              <w:top w:w="0" w:type="dxa"/>
              <w:left w:w="0" w:type="dxa"/>
              <w:bottom w:w="0" w:type="dxa"/>
              <w:right w:w="0" w:type="dxa"/>
            </w:tcMar>
            <w:vAlign w:val="center"/>
            <w:hideMark/>
          </w:tcPr>
          <w:p w14:paraId="03A63CE6" w14:textId="1266C87A" w:rsidR="00782461" w:rsidRPr="00475D0A" w:rsidRDefault="00782461" w:rsidP="00782461">
            <w:pPr>
              <w:spacing w:after="0" w:line="240" w:lineRule="auto"/>
              <w:jc w:val="center"/>
              <w:rPr>
                <w:rFonts w:eastAsia="Tw Cen MT"/>
              </w:rPr>
            </w:pPr>
            <w:r w:rsidRPr="00475D0A">
              <w:rPr>
                <w:rFonts w:eastAsia="Tw Cen MT" w:cs="Tw Cen MT"/>
                <w:b/>
                <w:sz w:val="21"/>
                <w:szCs w:val="21"/>
              </w:rPr>
              <w:t>24</w:t>
            </w:r>
          </w:p>
        </w:tc>
      </w:tr>
      <w:tr w:rsidR="00782461" w:rsidRPr="00475D0A" w14:paraId="6DB71C4A" w14:textId="77777777" w:rsidTr="00782461">
        <w:tc>
          <w:tcPr>
            <w:tcW w:w="0" w:type="auto"/>
            <w:gridSpan w:val="4"/>
            <w:tcBorders>
              <w:top w:val="single" w:sz="12" w:space="0" w:color="666666"/>
              <w:left w:val="nil"/>
              <w:bottom w:val="nil"/>
              <w:right w:val="nil"/>
            </w:tcBorders>
            <w:shd w:val="clear" w:color="auto" w:fill="FFFFFF"/>
            <w:tcMar>
              <w:top w:w="0" w:type="dxa"/>
              <w:left w:w="0" w:type="dxa"/>
              <w:bottom w:w="0" w:type="dxa"/>
              <w:right w:w="0" w:type="dxa"/>
            </w:tcMar>
            <w:vAlign w:val="center"/>
            <w:hideMark/>
          </w:tcPr>
          <w:p w14:paraId="5E6F4501" w14:textId="77777777" w:rsidR="00782461" w:rsidRPr="00475D0A" w:rsidRDefault="00782461" w:rsidP="00D54288">
            <w:pPr>
              <w:spacing w:before="100" w:after="100" w:line="72" w:lineRule="auto"/>
              <w:ind w:left="100" w:right="100"/>
              <w:rPr>
                <w:rFonts w:eastAsia="Tw Cen MT"/>
              </w:rPr>
            </w:pPr>
            <w:r w:rsidRPr="00475D0A">
              <w:rPr>
                <w:rFonts w:eastAsia="Tw Cen MT" w:cs="Tw Cen MT"/>
                <w:sz w:val="20"/>
                <w:szCs w:val="20"/>
              </w:rPr>
              <w:t>Source: Data Mart</w:t>
            </w:r>
          </w:p>
        </w:tc>
      </w:tr>
      <w:tr w:rsidR="00782461" w:rsidRPr="00475D0A" w14:paraId="3CC5AAAC" w14:textId="77777777" w:rsidTr="00782461">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14:paraId="24C5366D" w14:textId="77777777" w:rsidR="00782461" w:rsidRPr="00475D0A" w:rsidRDefault="00782461" w:rsidP="00D54288">
            <w:pPr>
              <w:spacing w:before="100" w:after="100" w:line="72" w:lineRule="auto"/>
              <w:ind w:left="100" w:right="100"/>
              <w:rPr>
                <w:rFonts w:eastAsia="Tw Cen MT"/>
              </w:rPr>
            </w:pPr>
            <w:r w:rsidRPr="00475D0A">
              <w:rPr>
                <w:rFonts w:eastAsia="Tw Cen MT" w:cs="Tw Cen MT"/>
                <w:sz w:val="20"/>
                <w:szCs w:val="20"/>
              </w:rPr>
              <w:t>Note: The annual average for awards is 2020-21 to 2022-23.</w:t>
            </w:r>
          </w:p>
        </w:tc>
      </w:tr>
    </w:tbl>
    <w:p w14:paraId="3C5345AC" w14:textId="77777777" w:rsidR="00782461" w:rsidRDefault="00782461" w:rsidP="00475D0A">
      <w:pPr>
        <w:rPr>
          <w:rFonts w:eastAsia="Tw Cen MT"/>
          <w:b/>
          <w:bCs/>
        </w:rPr>
      </w:pPr>
    </w:p>
    <w:p w14:paraId="3CE52FA5" w14:textId="37CDB03B" w:rsidR="003354F9" w:rsidRDefault="00000000" w:rsidP="0072604A">
      <w:pPr>
        <w:pStyle w:val="Heading2"/>
        <w:spacing w:before="0" w:line="360" w:lineRule="auto"/>
      </w:pPr>
      <w:bookmarkStart w:id="8" w:name="gap-analysis"/>
      <w:bookmarkEnd w:id="7"/>
      <w:r>
        <w:t>Gap Analysis</w:t>
      </w:r>
    </w:p>
    <w:p w14:paraId="52DB09C8" w14:textId="00CCC8C4" w:rsidR="00EA19E3" w:rsidRPr="00EA19E3" w:rsidRDefault="00EA19E3" w:rsidP="00EA19E3">
      <w:pPr>
        <w:rPr>
          <w:rFonts w:eastAsia="Tw Cen MT"/>
        </w:rPr>
      </w:pPr>
      <w:bookmarkStart w:id="9" w:name="student-outcomes"/>
      <w:bookmarkEnd w:id="8"/>
      <w:r w:rsidRPr="00EA19E3">
        <w:rPr>
          <w:rFonts w:eastAsia="Tw Cen MT"/>
        </w:rPr>
        <w:t xml:space="preserve">Based on the data included in this report, there is a labor market gap in the Bay Region with 2,138 annual openings for the AI Design occupational cluster and </w:t>
      </w:r>
      <w:r w:rsidR="00782461">
        <w:rPr>
          <w:rFonts w:eastAsia="Tw Cen MT"/>
        </w:rPr>
        <w:t xml:space="preserve">126 </w:t>
      </w:r>
      <w:r w:rsidRPr="00EA19E3">
        <w:rPr>
          <w:rFonts w:eastAsia="Tw Cen MT"/>
        </w:rPr>
        <w:t xml:space="preserve">annual (3-year average) awards for an annual undersupply of </w:t>
      </w:r>
      <w:r w:rsidR="00782461">
        <w:rPr>
          <w:rFonts w:eastAsia="Tw Cen MT"/>
        </w:rPr>
        <w:t>2,012</w:t>
      </w:r>
      <w:r w:rsidRPr="00EA19E3">
        <w:rPr>
          <w:rFonts w:eastAsia="Tw Cen MT"/>
        </w:rPr>
        <w:t xml:space="preserve"> students. In the East Bay Sub-Region, there is also a gap with 402 annual openings and </w:t>
      </w:r>
      <w:r w:rsidR="00782461">
        <w:rPr>
          <w:rFonts w:eastAsia="Tw Cen MT"/>
        </w:rPr>
        <w:t xml:space="preserve">25 </w:t>
      </w:r>
      <w:r w:rsidRPr="00EA19E3">
        <w:rPr>
          <w:rFonts w:eastAsia="Tw Cen MT"/>
        </w:rPr>
        <w:t>annual (3-year average) awards for an annual undersupply of 3</w:t>
      </w:r>
      <w:r w:rsidR="00782461">
        <w:rPr>
          <w:rFonts w:eastAsia="Tw Cen MT"/>
        </w:rPr>
        <w:t>77</w:t>
      </w:r>
      <w:r w:rsidRPr="00EA19E3">
        <w:rPr>
          <w:rFonts w:eastAsia="Tw Cen MT"/>
        </w:rPr>
        <w:t xml:space="preserve"> students.</w:t>
      </w:r>
    </w:p>
    <w:p w14:paraId="1E037274" w14:textId="77777777" w:rsidR="003354F9" w:rsidRDefault="00000000" w:rsidP="0072604A">
      <w:pPr>
        <w:pStyle w:val="Heading2"/>
        <w:spacing w:before="0" w:line="360" w:lineRule="auto"/>
      </w:pPr>
      <w:r>
        <w:t>Student Outcomes</w:t>
      </w:r>
    </w:p>
    <w:p w14:paraId="054A99FF" w14:textId="2456B8AB" w:rsidR="003354F9" w:rsidRPr="00475D0A" w:rsidRDefault="00000000">
      <w:pPr>
        <w:rPr>
          <w:b/>
          <w:bCs/>
        </w:rPr>
      </w:pPr>
      <w:r w:rsidRPr="00475D0A">
        <w:rPr>
          <w:b/>
          <w:bCs/>
        </w:rPr>
        <w:t>Table 8. Four Employment Outcomes Metrics for Students Who Took Courses on TOP 0614.00 - _Digital Media</w:t>
      </w:r>
    </w:p>
    <w:tbl>
      <w:tblPr>
        <w:tblW w:w="0" w:type="pct"/>
        <w:tblLook w:val="0420" w:firstRow="1" w:lastRow="0" w:firstColumn="0" w:lastColumn="0" w:noHBand="0" w:noVBand="1"/>
      </w:tblPr>
      <w:tblGrid>
        <w:gridCol w:w="2250"/>
        <w:gridCol w:w="1258"/>
        <w:gridCol w:w="1705"/>
        <w:gridCol w:w="1076"/>
        <w:gridCol w:w="1050"/>
        <w:gridCol w:w="1171"/>
        <w:gridCol w:w="1930"/>
      </w:tblGrid>
      <w:tr w:rsidR="003354F9" w14:paraId="1D3C4FA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02748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B3DFF7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7D710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Berkeley City College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B67329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0614.00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10C215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0614.00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68150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 0614.00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FC2C4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Berkeley City College0614.00</w:t>
            </w:r>
          </w:p>
        </w:tc>
      </w:tr>
      <w:tr w:rsidR="003354F9" w14:paraId="71399E5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C79C2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BEFEC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41EED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757FC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B4F4C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1F593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ADCA6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r>
      <w:tr w:rsidR="003354F9" w14:paraId="191820A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7C44C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68342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A69C0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$38,994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CB82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$28,932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F14A1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$32,664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B44EB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$32,342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3C8DC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$33,422</w:t>
            </w:r>
          </w:p>
        </w:tc>
      </w:tr>
      <w:tr w:rsidR="003354F9" w14:paraId="36594A4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A8745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83FBC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5E064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23087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07913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5A033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9CC2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3354F9" w14:paraId="7119D2F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8397C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619AA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770D2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4151A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E5AF5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8436E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3B32D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w:t>
            </w:r>
          </w:p>
        </w:tc>
      </w:tr>
      <w:tr w:rsidR="003354F9" w14:paraId="75E3C722"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BF59C6"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lastRenderedPageBreak/>
              <w:t>Source: Launchboard Strong Workforce Program Median of 2018 to 2021.</w:t>
            </w:r>
          </w:p>
        </w:tc>
      </w:tr>
    </w:tbl>
    <w:p w14:paraId="5E63C5AD" w14:textId="77777777" w:rsidR="00F97790" w:rsidRDefault="00F97790" w:rsidP="0072604A">
      <w:pPr>
        <w:pStyle w:val="Heading2"/>
        <w:spacing w:before="0" w:line="360" w:lineRule="auto"/>
      </w:pPr>
      <w:bookmarkStart w:id="10" w:name="skills-certifications-and-education"/>
      <w:bookmarkEnd w:id="9"/>
    </w:p>
    <w:p w14:paraId="3E5B6B1F" w14:textId="39A73332" w:rsidR="003354F9" w:rsidRDefault="00000000" w:rsidP="0072604A">
      <w:pPr>
        <w:pStyle w:val="Heading2"/>
        <w:spacing w:before="0" w:line="360" w:lineRule="auto"/>
      </w:pPr>
      <w:r>
        <w:t>Skills, Certifications and Education</w:t>
      </w:r>
    </w:p>
    <w:p w14:paraId="54296332" w14:textId="77777777" w:rsidR="003354F9" w:rsidRDefault="00000000">
      <w:r>
        <w:rPr>
          <w:b/>
          <w:bCs/>
        </w:rPr>
        <w:t>Table 9. Top Skills in Job Postings for AI Design Occupations in the Bay Region</w:t>
      </w:r>
    </w:p>
    <w:tbl>
      <w:tblPr>
        <w:tblW w:w="0" w:type="pct"/>
        <w:tblLook w:val="0420" w:firstRow="1" w:lastRow="0" w:firstColumn="0" w:lastColumn="0" w:noHBand="0" w:noVBand="1"/>
      </w:tblPr>
      <w:tblGrid>
        <w:gridCol w:w="2575"/>
        <w:gridCol w:w="845"/>
        <w:gridCol w:w="2656"/>
        <w:gridCol w:w="845"/>
      </w:tblGrid>
      <w:tr w:rsidR="003354F9" w14:paraId="7398F0C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CF545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E2C1D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33AFE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EFCD03"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3354F9" w14:paraId="5754A065"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5A433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Experience (UX)</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D2242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3,497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C186F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New Product Development</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64992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1,187</w:t>
            </w:r>
          </w:p>
        </w:tc>
      </w:tr>
      <w:tr w:rsidR="003354F9" w14:paraId="4470F53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9A2F1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Prototyping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E3F0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93F08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Usability Testing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7FBC8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1,133</w:t>
            </w:r>
          </w:p>
        </w:tc>
      </w:tr>
      <w:tr w:rsidR="003354F9" w14:paraId="7315190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7D0FB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Experience (UX) Design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D077D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92017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Usability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5013D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1,132</w:t>
            </w:r>
          </w:p>
        </w:tc>
      </w:tr>
      <w:tr w:rsidR="003354F9" w14:paraId="2F04D90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6F300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Design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91BBB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1,899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DBCA3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UI/UX Research</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E8FB7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1,099</w:t>
            </w:r>
          </w:p>
        </w:tc>
      </w:tr>
      <w:tr w:rsidR="003354F9" w14:paraId="5F0B095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05D91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Interface (UI)</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6676D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E9D904"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Visual Design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7502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1,059</w:t>
            </w:r>
          </w:p>
        </w:tc>
      </w:tr>
      <w:tr w:rsidR="003354F9" w14:paraId="5C6FD7C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721D4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Figma (Design Software)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DA225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64D6A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Workflow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8C679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1,019</w:t>
            </w:r>
          </w:p>
        </w:tc>
      </w:tr>
      <w:tr w:rsidR="003354F9" w14:paraId="745AA15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B62D7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 Research</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FBC45D"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90738"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User-Centered Design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86A45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997</w:t>
            </w:r>
          </w:p>
        </w:tc>
      </w:tr>
      <w:tr w:rsidR="003354F9" w14:paraId="6948E2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DB39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Wireframing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0EBDD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956D66"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928D70"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993</w:t>
            </w:r>
          </w:p>
        </w:tc>
      </w:tr>
      <w:tr w:rsidR="003354F9" w14:paraId="6E8911D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14B07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C2915C"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F3EE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Interaction Design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2C0A05"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981</w:t>
            </w:r>
          </w:p>
        </w:tc>
      </w:tr>
      <w:tr w:rsidR="003354F9" w14:paraId="5752383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7E75DF"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7CB3DE"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1,260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0D2CE9"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Cascading Style Sheets (CSS)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80914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975</w:t>
            </w:r>
          </w:p>
        </w:tc>
      </w:tr>
      <w:tr w:rsidR="003354F9" w14:paraId="7F787E47"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42A31F"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7BA9929D" w14:textId="77777777" w:rsidR="00F97790" w:rsidRDefault="00F97790">
      <w:pPr>
        <w:rPr>
          <w:b/>
          <w:bCs/>
        </w:rPr>
      </w:pPr>
    </w:p>
    <w:p w14:paraId="4C915577" w14:textId="34A366C0" w:rsidR="003354F9" w:rsidRDefault="00000000">
      <w:r>
        <w:rPr>
          <w:b/>
          <w:bCs/>
        </w:rPr>
        <w:t>Table 10. Certifications in Job Postings for AI Design Occupations in the Bay Region</w:t>
      </w:r>
    </w:p>
    <w:tbl>
      <w:tblPr>
        <w:tblW w:w="3744" w:type="pct"/>
        <w:tblLook w:val="0420" w:firstRow="1" w:lastRow="0" w:firstColumn="0" w:lastColumn="0" w:noHBand="0" w:noVBand="1"/>
      </w:tblPr>
      <w:tblGrid>
        <w:gridCol w:w="3455"/>
        <w:gridCol w:w="883"/>
        <w:gridCol w:w="2614"/>
        <w:gridCol w:w="442"/>
        <w:gridCol w:w="423"/>
      </w:tblGrid>
      <w:tr w:rsidR="003354F9" w14:paraId="5D519515" w14:textId="77777777" w:rsidTr="00F97790">
        <w:trPr>
          <w:tblHeader/>
        </w:trPr>
        <w:tc>
          <w:tcPr>
            <w:tcW w:w="221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8890D1"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2892E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9917E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gridSpan w:val="2"/>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373DFB"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F97790" w14:paraId="333919F6" w14:textId="77777777" w:rsidTr="00F97790">
        <w:tc>
          <w:tcPr>
            <w:tcW w:w="221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12ABC" w14:textId="7B69A1AE"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613B8B" w14:textId="1E6C8088"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364E1D" w14:textId="77777777"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Certification</w:t>
            </w:r>
          </w:p>
        </w:tc>
        <w:tc>
          <w:tcPr>
            <w:tcW w:w="0" w:type="auto"/>
            <w:gridSpan w:val="2"/>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5F89DF" w14:textId="77777777"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r>
      <w:tr w:rsidR="00F97790" w14:paraId="13B60B73" w14:textId="77777777" w:rsidTr="00F97790">
        <w:tc>
          <w:tcPr>
            <w:tcW w:w="22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A5C637" w14:textId="5FE94258"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Network+</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B1E945" w14:textId="12A300F7"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4EEC3C" w14:textId="01193F63"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IAT Level II Certification</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C9906B" w14:textId="40A1688C"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F97790" w14:paraId="66A99C85" w14:textId="77777777" w:rsidTr="00F97790">
        <w:tc>
          <w:tcPr>
            <w:tcW w:w="22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E2058E" w14:textId="4A3E3FA5"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Security+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FBFD10" w14:textId="511C6DDD"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283EE8" w14:textId="0B349A73"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Adobe Illustrator Certification</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219EE" w14:textId="7C15DB1B"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r>
      <w:tr w:rsidR="00F97790" w14:paraId="5D76AA44" w14:textId="77777777" w:rsidTr="00F97790">
        <w:tc>
          <w:tcPr>
            <w:tcW w:w="22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E68B16" w14:textId="4AAF97B8"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Linux+</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728CA2" w14:textId="4D5C3EEA"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89DAD2" w14:textId="6DE22F06"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ITIL Foundation Certification</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9C9E6D" w14:textId="1932E035" w:rsidR="00F97790" w:rsidRDefault="00F97790" w:rsidP="00F9779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F97790" w14:paraId="630DD6B9" w14:textId="77777777" w:rsidTr="00F97790">
        <w:trPr>
          <w:gridAfter w:val="1"/>
        </w:trPr>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E6A6768" w14:textId="77777777" w:rsidR="00F97790" w:rsidRDefault="00F97790" w:rsidP="00F9779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bl>
    <w:p w14:paraId="16DA6AF2" w14:textId="77777777" w:rsidR="00F97790" w:rsidRDefault="00F97790">
      <w:pPr>
        <w:rPr>
          <w:b/>
          <w:bCs/>
        </w:rPr>
      </w:pPr>
    </w:p>
    <w:p w14:paraId="24F35E29" w14:textId="336A7A16" w:rsidR="003354F9" w:rsidRDefault="00000000">
      <w:r>
        <w:rPr>
          <w:b/>
          <w:bCs/>
        </w:rPr>
        <w:t>Table 11. Education Requirements for AI Design Occupations in the Bay Region</w:t>
      </w:r>
    </w:p>
    <w:tbl>
      <w:tblPr>
        <w:tblW w:w="0" w:type="pct"/>
        <w:jc w:val="center"/>
        <w:tblLook w:val="0420" w:firstRow="1" w:lastRow="0" w:firstColumn="0" w:lastColumn="0" w:noHBand="0" w:noVBand="1"/>
      </w:tblPr>
      <w:tblGrid>
        <w:gridCol w:w="5006"/>
        <w:gridCol w:w="2942"/>
        <w:gridCol w:w="2492"/>
      </w:tblGrid>
      <w:tr w:rsidR="003354F9" w14:paraId="00088713"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701467"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CB6E2A"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4E0452" w14:textId="77777777" w:rsidR="003354F9"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3354F9" w14:paraId="422B1C0E"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3289BD"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B0D73"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9FCA92"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3354F9" w14:paraId="59DC2854"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E016D6"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D8C9B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C021C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3354F9" w14:paraId="28C6A5E5"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040D5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806885"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5,087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368CDC" w14:textId="77777777" w:rsidR="003354F9"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94%</w:t>
            </w:r>
          </w:p>
        </w:tc>
      </w:tr>
      <w:tr w:rsidR="003354F9" w14:paraId="40B78376"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D71117" w14:textId="77777777" w:rsidR="003354F9"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May. 2024 - Apr. 2025</w:t>
            </w:r>
          </w:p>
        </w:tc>
      </w:tr>
      <w:tr w:rsidR="003354F9" w14:paraId="04594A28"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B3B131E" w14:textId="77777777" w:rsidR="003354F9" w:rsidRDefault="00000000" w:rsidP="0072604A">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lastRenderedPageBreak/>
              <w:t>Note: 52% of records have been excluded because they do not include a degree level. As a result, the chart above may not be representative of the full sample.</w:t>
            </w:r>
          </w:p>
        </w:tc>
      </w:tr>
    </w:tbl>
    <w:p w14:paraId="7EAD996C" w14:textId="77777777" w:rsidR="00F97790" w:rsidRDefault="00F97790" w:rsidP="0072604A">
      <w:pPr>
        <w:pStyle w:val="Heading2"/>
        <w:spacing w:before="0" w:line="360" w:lineRule="auto"/>
      </w:pPr>
      <w:bookmarkStart w:id="11" w:name="methodology"/>
      <w:bookmarkEnd w:id="10"/>
    </w:p>
    <w:p w14:paraId="707E955A" w14:textId="4FD021CD" w:rsidR="003354F9" w:rsidRDefault="00000000" w:rsidP="0072604A">
      <w:pPr>
        <w:pStyle w:val="Heading2"/>
        <w:spacing w:before="0" w:line="360" w:lineRule="auto"/>
      </w:pPr>
      <w:r>
        <w:t>Methodology</w:t>
      </w:r>
    </w:p>
    <w:p w14:paraId="4334A012" w14:textId="77777777" w:rsidR="003354F9" w:rsidRDefault="00000000">
      <w:r>
        <w:t xml:space="preserve">Occupations for this report were identified by </w:t>
      </w:r>
      <w:proofErr w:type="gramStart"/>
      <w:r>
        <w:t>use</w:t>
      </w:r>
      <w:proofErr w:type="gramEnd"/>
      <w:r>
        <w:t xml:space="preserve"> of job descriptions and skills listed in O*Net. Labor demand data is sourced from Lightcast occupation and job postings data. Educational supply and student outcomes data is retrieved from multiple sources, including CCCCO Data Mart and CTE Launchboard.</w:t>
      </w:r>
    </w:p>
    <w:p w14:paraId="54EDAE7A" w14:textId="77777777" w:rsidR="003354F9" w:rsidRDefault="00000000" w:rsidP="0072604A">
      <w:pPr>
        <w:pStyle w:val="Heading2"/>
        <w:spacing w:before="0" w:line="360" w:lineRule="auto"/>
      </w:pPr>
      <w:bookmarkStart w:id="12" w:name="sources"/>
      <w:bookmarkEnd w:id="11"/>
      <w:r>
        <w:t>Sources</w:t>
      </w:r>
    </w:p>
    <w:p w14:paraId="3D4B534A" w14:textId="77777777" w:rsidR="003354F9" w:rsidRDefault="00000000">
      <w:r>
        <w:t>O*Net Online</w:t>
      </w:r>
      <w:r>
        <w:br/>
        <w:t>Lightcast</w:t>
      </w:r>
      <w:r>
        <w:br/>
        <w:t>CTE LaunchBoard www.calpassplus.org</w:t>
      </w:r>
      <w:r>
        <w:br/>
        <w:t>Statewide CTE Outcomes Survey</w:t>
      </w:r>
      <w:r>
        <w:br/>
        <w:t>Employment Development Department Unemployment Insurance Dataset</w:t>
      </w:r>
      <w:r>
        <w:br/>
        <w:t>CCCCO Data Mart</w:t>
      </w:r>
    </w:p>
    <w:p w14:paraId="0DC716FA" w14:textId="77777777" w:rsidR="003354F9" w:rsidRDefault="00000000" w:rsidP="0072604A">
      <w:pPr>
        <w:pStyle w:val="Heading2"/>
        <w:spacing w:before="0" w:line="360" w:lineRule="auto"/>
      </w:pPr>
      <w:bookmarkStart w:id="13" w:name="contacts"/>
      <w:bookmarkEnd w:id="12"/>
      <w:r>
        <w:t>Contacts</w:t>
      </w:r>
    </w:p>
    <w:p w14:paraId="29C9272C" w14:textId="77777777" w:rsidR="003354F9" w:rsidRDefault="00000000">
      <w:r>
        <w:t>For more information, please contact:</w:t>
      </w:r>
    </w:p>
    <w:p w14:paraId="24F09F39" w14:textId="233B5E93" w:rsidR="003354F9" w:rsidRDefault="00000000">
      <w:pPr>
        <w:numPr>
          <w:ilvl w:val="0"/>
          <w:numId w:val="18"/>
        </w:numPr>
      </w:pPr>
      <w:r>
        <w:t xml:space="preserve">Yumi Huang, Research Analyst, Bay Region Center of Excellence, </w:t>
      </w:r>
      <w:hyperlink r:id="rId8" w:history="1">
        <w:r w:rsidR="00F97790" w:rsidRPr="00132E03">
          <w:rPr>
            <w:rStyle w:val="Hyperlink"/>
          </w:rPr>
          <w:t>yumi@baccc.net</w:t>
        </w:r>
      </w:hyperlink>
      <w:r>
        <w:t xml:space="preserve"> or (831) 275-0043</w:t>
      </w:r>
    </w:p>
    <w:p w14:paraId="3E191830" w14:textId="08AD3CA3" w:rsidR="003354F9" w:rsidRDefault="00000000">
      <w:pPr>
        <w:numPr>
          <w:ilvl w:val="0"/>
          <w:numId w:val="18"/>
        </w:numPr>
      </w:pPr>
      <w:r>
        <w:t xml:space="preserve">Marcela Reyes, Director, Research and Center of Excellence, </w:t>
      </w:r>
      <w:hyperlink r:id="rId9" w:history="1">
        <w:r w:rsidR="002E1F7A" w:rsidRPr="00132E03">
          <w:rPr>
            <w:rStyle w:val="Hyperlink"/>
          </w:rPr>
          <w:t>marcela@baccc.net</w:t>
        </w:r>
      </w:hyperlink>
      <w:r>
        <w:t xml:space="preserve"> or (831) 219-8875</w:t>
      </w:r>
      <w:bookmarkEnd w:id="13"/>
    </w:p>
    <w:sectPr w:rsidR="003354F9"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19E1" w14:textId="77777777" w:rsidR="00C70AE3" w:rsidRDefault="00C70AE3">
      <w:pPr>
        <w:spacing w:after="0" w:line="240" w:lineRule="auto"/>
      </w:pPr>
      <w:r>
        <w:separator/>
      </w:r>
    </w:p>
  </w:endnote>
  <w:endnote w:type="continuationSeparator" w:id="0">
    <w:p w14:paraId="06B22C39" w14:textId="77777777" w:rsidR="00C70AE3" w:rsidRDefault="00C7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2CB" w14:textId="77777777" w:rsidR="0057014D" w:rsidRDefault="0057014D" w:rsidP="0049201C">
    <w:pPr>
      <w:pStyle w:val="Footer"/>
      <w:tabs>
        <w:tab w:val="clear" w:pos="4680"/>
        <w:tab w:val="clear" w:pos="9360"/>
        <w:tab w:val="center" w:pos="6660"/>
        <w:tab w:val="right" w:pos="10080"/>
      </w:tabs>
      <w:rPr>
        <w:bCs/>
      </w:rPr>
    </w:pPr>
  </w:p>
  <w:p w14:paraId="1565E4DE" w14:textId="77777777" w:rsidR="0057014D" w:rsidRPr="00CA7C27" w:rsidRDefault="00000000"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7EF9" w14:textId="77777777" w:rsidR="00C70AE3" w:rsidRDefault="00C70AE3">
      <w:r>
        <w:separator/>
      </w:r>
    </w:p>
  </w:footnote>
  <w:footnote w:type="continuationSeparator" w:id="0">
    <w:p w14:paraId="2F07B424" w14:textId="77777777" w:rsidR="00C70AE3" w:rsidRDefault="00C7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1505899">
    <w:abstractNumId w:val="6"/>
  </w:num>
  <w:num w:numId="2" w16cid:durableId="913511488">
    <w:abstractNumId w:val="3"/>
  </w:num>
  <w:num w:numId="3" w16cid:durableId="1513954406">
    <w:abstractNumId w:val="8"/>
  </w:num>
  <w:num w:numId="4" w16cid:durableId="2082292749">
    <w:abstractNumId w:val="7"/>
  </w:num>
  <w:num w:numId="5" w16cid:durableId="557401583">
    <w:abstractNumId w:val="4"/>
  </w:num>
  <w:num w:numId="6" w16cid:durableId="432630234">
    <w:abstractNumId w:val="5"/>
  </w:num>
  <w:num w:numId="7" w16cid:durableId="1147942720">
    <w:abstractNumId w:val="0"/>
  </w:num>
  <w:num w:numId="8" w16cid:durableId="1376392985">
    <w:abstractNumId w:val="5"/>
  </w:num>
  <w:num w:numId="9" w16cid:durableId="411052094">
    <w:abstractNumId w:val="0"/>
  </w:num>
  <w:num w:numId="10" w16cid:durableId="31657568">
    <w:abstractNumId w:val="5"/>
  </w:num>
  <w:num w:numId="11" w16cid:durableId="425882728">
    <w:abstractNumId w:val="0"/>
  </w:num>
  <w:num w:numId="12" w16cid:durableId="1676762765">
    <w:abstractNumId w:val="1"/>
  </w:num>
  <w:num w:numId="13" w16cid:durableId="1923105946">
    <w:abstractNumId w:val="2"/>
  </w:num>
  <w:num w:numId="14" w16cid:durableId="1328174936">
    <w:abstractNumId w:val="1"/>
  </w:num>
  <w:num w:numId="15" w16cid:durableId="1887792680">
    <w:abstractNumId w:val="2"/>
  </w:num>
  <w:num w:numId="16" w16cid:durableId="1156334406">
    <w:abstractNumId w:val="1"/>
  </w:num>
  <w:num w:numId="17" w16cid:durableId="49040873">
    <w:abstractNumId w:val="2"/>
  </w:num>
  <w:num w:numId="18" w16cid:durableId="1694838078">
    <w:abstractNumId w:val="2"/>
  </w:num>
  <w:num w:numId="19" w16cid:durableId="42195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F9"/>
    <w:rsid w:val="002B25CB"/>
    <w:rsid w:val="002E1F7A"/>
    <w:rsid w:val="003354F9"/>
    <w:rsid w:val="00337EBA"/>
    <w:rsid w:val="00475D0A"/>
    <w:rsid w:val="0057014D"/>
    <w:rsid w:val="005A2A41"/>
    <w:rsid w:val="0072604A"/>
    <w:rsid w:val="00782461"/>
    <w:rsid w:val="00783BA4"/>
    <w:rsid w:val="007D5908"/>
    <w:rsid w:val="008321FE"/>
    <w:rsid w:val="00900246"/>
    <w:rsid w:val="0094579A"/>
    <w:rsid w:val="00C70AE3"/>
    <w:rsid w:val="00C778D5"/>
    <w:rsid w:val="00E244F9"/>
    <w:rsid w:val="00EA19E3"/>
    <w:rsid w:val="00F97790"/>
    <w:rsid w:val="00FB75F5"/>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1A7E"/>
  <w15:docId w15:val="{C52A283D-C22E-4FE4-B54F-E59CC656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UnresolvedMention">
    <w:name w:val="Unresolved Mention"/>
    <w:basedOn w:val="DefaultParagraphFont"/>
    <w:uiPriority w:val="99"/>
    <w:rsid w:val="00F9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36649883">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16558960">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0819659">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7136346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995916103">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5448856">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1439831">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64678243">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3081729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1575206">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17725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i@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ela@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5</cp:revision>
  <dcterms:created xsi:type="dcterms:W3CDTF">2025-06-09T21:57:00Z</dcterms:created>
  <dcterms:modified xsi:type="dcterms:W3CDTF">2025-06-13T13:37:00Z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