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272" w:rsidRPr="00EC0085" w:rsidRDefault="00EE0229" w:rsidP="00AE0272">
      <w:pPr>
        <w:pStyle w:val="Title"/>
        <w:rPr>
          <w:rFonts w:eastAsia="Times New Roman"/>
          <w:bdr w:val="none" w:sz="0" w:space="0" w:color="auto" w:frame="1"/>
          <w:shd w:val="clear" w:color="auto" w:fill="FFFFFF"/>
        </w:rPr>
      </w:pPr>
      <w:r>
        <w:rPr>
          <w:rFonts w:eastAsia="Times New Roman"/>
          <w:bdr w:val="none" w:sz="0" w:space="0" w:color="auto" w:frame="1"/>
          <w:shd w:val="clear" w:color="auto" w:fill="FFFFFF"/>
        </w:rPr>
        <w:t xml:space="preserve">Construction </w:t>
      </w:r>
      <w:r w:rsidR="00F6255E">
        <w:rPr>
          <w:rFonts w:eastAsia="Times New Roman"/>
          <w:bdr w:val="none" w:sz="0" w:space="0" w:color="auto" w:frame="1"/>
          <w:shd w:val="clear" w:color="auto" w:fill="FFFFFF"/>
        </w:rPr>
        <w:t>Technology</w:t>
      </w:r>
      <w:r w:rsidR="00696666">
        <w:rPr>
          <w:rFonts w:eastAsia="Times New Roman"/>
          <w:bdr w:val="none" w:sz="0" w:space="0" w:color="auto" w:frame="1"/>
          <w:shd w:val="clear" w:color="auto" w:fill="FFFFFF"/>
        </w:rPr>
        <w:t xml:space="preserve"> </w:t>
      </w:r>
      <w:r w:rsidR="003D526D">
        <w:rPr>
          <w:rFonts w:eastAsia="Times New Roman"/>
          <w:bdr w:val="none" w:sz="0" w:space="0" w:color="auto" w:frame="1"/>
          <w:shd w:val="clear" w:color="auto" w:fill="FFFFFF"/>
        </w:rPr>
        <w:t>Occupation Cluster</w:t>
      </w:r>
    </w:p>
    <w:p w:rsidR="00075F60" w:rsidRDefault="00627EEF" w:rsidP="00075F60">
      <w:pPr>
        <w:pStyle w:val="Subtitle"/>
        <w:rPr>
          <w:rFonts w:eastAsia="Tw Cen MT"/>
          <w:bdr w:val="none" w:sz="0" w:space="0" w:color="auto" w:frame="1"/>
          <w:shd w:val="clear" w:color="auto" w:fill="FFFFFF"/>
        </w:rPr>
      </w:pPr>
      <w:r>
        <w:rPr>
          <w:rFonts w:eastAsia="Tw Cen MT"/>
          <w:bdr w:val="none" w:sz="0" w:space="0" w:color="auto" w:frame="1"/>
          <w:shd w:val="clear" w:color="auto" w:fill="FFFFFF"/>
        </w:rPr>
        <w:t>Riverside</w:t>
      </w:r>
      <w:r w:rsidR="0040211B">
        <w:rPr>
          <w:rFonts w:eastAsia="Tw Cen MT"/>
          <w:bdr w:val="none" w:sz="0" w:space="0" w:color="auto" w:frame="1"/>
          <w:shd w:val="clear" w:color="auto" w:fill="FFFFFF"/>
        </w:rPr>
        <w:t>–San Bernardino–</w:t>
      </w:r>
      <w:r w:rsidR="00482470">
        <w:rPr>
          <w:rFonts w:eastAsia="Tw Cen MT"/>
          <w:bdr w:val="none" w:sz="0" w:space="0" w:color="auto" w:frame="1"/>
          <w:shd w:val="clear" w:color="auto" w:fill="FFFFFF"/>
        </w:rPr>
        <w:t>Ontario MSA</w:t>
      </w:r>
    </w:p>
    <w:p w:rsidR="0072741D" w:rsidRPr="0072741D" w:rsidRDefault="00482470" w:rsidP="0072741D">
      <w:pPr>
        <w:pStyle w:val="Heading1"/>
        <w:rPr>
          <w:rFonts w:ascii="Tw Cen MT" w:eastAsiaTheme="minorHAnsi" w:hAnsi="Tw Cen MT" w:cstheme="minorBidi"/>
          <w:b w:val="0"/>
          <w:bCs w:val="0"/>
          <w:color w:val="auto"/>
          <w:sz w:val="24"/>
          <w:szCs w:val="24"/>
          <w:bdr w:val="none" w:sz="0" w:space="0" w:color="auto" w:frame="1"/>
          <w:shd w:val="clear" w:color="auto" w:fill="FFFFFF"/>
        </w:rPr>
      </w:pPr>
      <w:r w:rsidRPr="00482470">
        <w:rPr>
          <w:rFonts w:ascii="Tw Cen MT" w:eastAsiaTheme="minorHAnsi" w:hAnsi="Tw Cen MT" w:cstheme="minorBidi"/>
          <w:bCs w:val="0"/>
          <w:color w:val="auto"/>
          <w:sz w:val="24"/>
          <w:szCs w:val="24"/>
          <w:bdr w:val="none" w:sz="0" w:space="0" w:color="auto" w:frame="1"/>
          <w:shd w:val="clear" w:color="auto" w:fill="FFFFFF"/>
        </w:rPr>
        <w:t>Construction Managers (SOC 11-9021)</w:t>
      </w:r>
      <w:r>
        <w:rPr>
          <w:rFonts w:ascii="Tw Cen MT" w:eastAsiaTheme="minorHAnsi" w:hAnsi="Tw Cen MT" w:cstheme="minorBidi"/>
          <w:b w:val="0"/>
          <w:bCs w:val="0"/>
          <w:color w:val="auto"/>
          <w:sz w:val="24"/>
          <w:szCs w:val="24"/>
          <w:bdr w:val="none" w:sz="0" w:space="0" w:color="auto" w:frame="1"/>
          <w:shd w:val="clear" w:color="auto" w:fill="FFFFFF"/>
        </w:rPr>
        <w:t xml:space="preserve"> </w:t>
      </w:r>
      <w:r w:rsidR="00EE0229" w:rsidRPr="00EE0229">
        <w:rPr>
          <w:rFonts w:ascii="Tw Cen MT" w:eastAsiaTheme="minorHAnsi" w:hAnsi="Tw Cen MT" w:cstheme="minorBidi"/>
          <w:b w:val="0"/>
          <w:bCs w:val="0"/>
          <w:color w:val="auto"/>
          <w:sz w:val="24"/>
          <w:szCs w:val="24"/>
          <w:bdr w:val="none" w:sz="0" w:space="0" w:color="auto" w:frame="1"/>
          <w:shd w:val="clear" w:color="auto" w:fill="FFFFFF"/>
        </w:rPr>
        <w:t>Plan, direct, or coordinate, usually through subordinate supervisory personnel, activities concerned with the construction and maintenance of structures, facilities, and systems. Participate in the conceptual development of a construction project and oversee its organization, scheduling, budgeting, and implementation. Includes managers in specialized construction fields, such as carpentry or plumbing.</w:t>
      </w:r>
    </w:p>
    <w:p w:rsidR="00482470" w:rsidRDefault="00EE0229" w:rsidP="00EE0229">
      <w:pPr>
        <w:pStyle w:val="Heading1"/>
        <w:rPr>
          <w:rFonts w:ascii="Tw Cen MT" w:eastAsiaTheme="minorHAnsi" w:hAnsi="Tw Cen MT" w:cstheme="minorBidi"/>
          <w:b w:val="0"/>
          <w:bCs w:val="0"/>
          <w:color w:val="auto"/>
          <w:sz w:val="24"/>
          <w:szCs w:val="24"/>
          <w:bdr w:val="none" w:sz="0" w:space="0" w:color="auto" w:frame="1"/>
          <w:shd w:val="clear" w:color="auto" w:fill="FFFFFF"/>
        </w:rPr>
      </w:pPr>
      <w:r w:rsidRPr="00EE0229">
        <w:rPr>
          <w:rFonts w:ascii="Tw Cen MT" w:eastAsiaTheme="minorHAnsi" w:hAnsi="Tw Cen MT" w:cstheme="minorBidi"/>
          <w:b w:val="0"/>
          <w:bCs w:val="0"/>
          <w:color w:val="auto"/>
          <w:sz w:val="24"/>
          <w:szCs w:val="24"/>
          <w:bdr w:val="none" w:sz="0" w:space="0" w:color="auto" w:frame="1"/>
          <w:shd w:val="clear" w:color="auto" w:fill="FFFFFF"/>
        </w:rPr>
        <w:t>Sample of reported job titles: Concrete Foreman, Construction Area Manager, Construction Foreman, Construction Manager, Construction Superintendent, General Contractor, Job Superintendent, Project Executive, Project Manager, Project Superintendent</w:t>
      </w:r>
    </w:p>
    <w:p w:rsidR="00482470" w:rsidRDefault="00482470" w:rsidP="00482470">
      <w:pPr>
        <w:pStyle w:val="Heading1"/>
        <w:rPr>
          <w:rFonts w:ascii="Tw Cen MT" w:eastAsia="Times New Roman" w:hAnsi="Tw Cen MT"/>
          <w:b w:val="0"/>
          <w:color w:val="auto"/>
          <w:sz w:val="24"/>
        </w:rPr>
      </w:pPr>
      <w:r w:rsidRPr="00482470">
        <w:rPr>
          <w:rFonts w:ascii="Tw Cen MT" w:eastAsiaTheme="minorHAnsi" w:hAnsi="Tw Cen MT" w:cstheme="minorBidi"/>
          <w:bCs w:val="0"/>
          <w:color w:val="auto"/>
          <w:sz w:val="24"/>
          <w:szCs w:val="24"/>
          <w:bdr w:val="none" w:sz="0" w:space="0" w:color="auto" w:frame="1"/>
          <w:shd w:val="clear" w:color="auto" w:fill="FFFFFF"/>
        </w:rPr>
        <w:t>First-Line Supervisors of Construction Trades and Extraction Workers (SOC 47-1011)</w:t>
      </w:r>
      <w:r>
        <w:rPr>
          <w:rFonts w:ascii="Tw Cen MT" w:eastAsiaTheme="minorHAnsi" w:hAnsi="Tw Cen MT" w:cstheme="minorBidi"/>
          <w:b w:val="0"/>
          <w:bCs w:val="0"/>
          <w:color w:val="auto"/>
          <w:sz w:val="24"/>
          <w:szCs w:val="24"/>
          <w:bdr w:val="none" w:sz="0" w:space="0" w:color="auto" w:frame="1"/>
          <w:shd w:val="clear" w:color="auto" w:fill="FFFFFF"/>
        </w:rPr>
        <w:t xml:space="preserve"> </w:t>
      </w:r>
      <w:r w:rsidRPr="00482470">
        <w:rPr>
          <w:rFonts w:ascii="Tw Cen MT" w:eastAsia="Times New Roman" w:hAnsi="Tw Cen MT"/>
          <w:b w:val="0"/>
          <w:color w:val="auto"/>
          <w:sz w:val="24"/>
        </w:rPr>
        <w:t xml:space="preserve">Directly supervise and coordinate activities of construction </w:t>
      </w:r>
      <w:r>
        <w:rPr>
          <w:rFonts w:ascii="Tw Cen MT" w:eastAsia="Times New Roman" w:hAnsi="Tw Cen MT"/>
          <w:b w:val="0"/>
          <w:color w:val="auto"/>
          <w:sz w:val="24"/>
        </w:rPr>
        <w:t>or extraction workers.</w:t>
      </w:r>
    </w:p>
    <w:p w:rsidR="00EE0229" w:rsidRPr="00482470" w:rsidRDefault="00482470" w:rsidP="00482470">
      <w:pPr>
        <w:pStyle w:val="Heading1"/>
        <w:rPr>
          <w:rFonts w:ascii="Tw Cen MT" w:eastAsia="Times New Roman" w:hAnsi="Tw Cen MT"/>
          <w:b w:val="0"/>
          <w:color w:val="auto"/>
          <w:sz w:val="24"/>
        </w:rPr>
      </w:pPr>
      <w:r w:rsidRPr="00482470">
        <w:rPr>
          <w:rFonts w:ascii="Tw Cen MT" w:eastAsia="Times New Roman" w:hAnsi="Tw Cen MT"/>
          <w:b w:val="0"/>
          <w:color w:val="auto"/>
          <w:sz w:val="24"/>
        </w:rPr>
        <w:t>Sample of reported job titles: Construction Foreman, Construction Superintendent, Construction Supervisor, Field Supervisor, Foreman, Job Superintendent, Project Superintendent, Site Superintendent, Superintendent, Supervisor</w:t>
      </w:r>
      <w:r w:rsidR="00AE0272" w:rsidRPr="00482470">
        <w:rPr>
          <w:rFonts w:ascii="Tw Cen MT" w:eastAsia="Times New Roman" w:hAnsi="Tw Cen MT"/>
          <w:b w:val="0"/>
          <w:color w:val="auto"/>
          <w:sz w:val="24"/>
        </w:rPr>
        <w:t xml:space="preserve"> </w:t>
      </w:r>
    </w:p>
    <w:p w:rsidR="00AE0272" w:rsidRPr="002D6060" w:rsidRDefault="00EE0229" w:rsidP="00EE0229">
      <w:pPr>
        <w:pStyle w:val="Heading1"/>
        <w:rPr>
          <w:rFonts w:ascii="Tw Cen MT" w:eastAsiaTheme="minorHAnsi" w:hAnsi="Tw Cen MT" w:cstheme="minorBidi"/>
          <w:b w:val="0"/>
          <w:color w:val="auto"/>
          <w:sz w:val="24"/>
          <w:szCs w:val="24"/>
          <w:bdr w:val="none" w:sz="0" w:space="0" w:color="auto" w:frame="1"/>
          <w:shd w:val="clear" w:color="auto" w:fill="FFFFFF"/>
        </w:rPr>
      </w:pPr>
      <w:r>
        <w:rPr>
          <w:rFonts w:eastAsia="Times New Roman"/>
        </w:rPr>
        <w:t xml:space="preserve">Job </w:t>
      </w:r>
      <w:r w:rsidR="00AE0272" w:rsidRPr="0095568A">
        <w:rPr>
          <w:rFonts w:eastAsia="Times New Roman"/>
        </w:rPr>
        <w:t>Opportunities</w:t>
      </w:r>
    </w:p>
    <w:p w:rsidR="00B06663" w:rsidRPr="00900D0D" w:rsidRDefault="00900D0D" w:rsidP="009E6018">
      <w:r w:rsidRPr="00900D0D">
        <w:rPr>
          <w:rFonts w:eastAsia="Times New Roman"/>
          <w:bdr w:val="none" w:sz="0" w:space="0" w:color="auto" w:frame="1"/>
          <w:shd w:val="clear" w:color="auto" w:fill="FFFFFF"/>
        </w:rPr>
        <w:t>Overall, the c</w:t>
      </w:r>
      <w:r w:rsidR="00696666" w:rsidRPr="00900D0D">
        <w:rPr>
          <w:rFonts w:eastAsia="Times New Roman"/>
          <w:bdr w:val="none" w:sz="0" w:space="0" w:color="auto" w:frame="1"/>
          <w:shd w:val="clear" w:color="auto" w:fill="FFFFFF"/>
        </w:rPr>
        <w:t xml:space="preserve">onstruction </w:t>
      </w:r>
      <w:r w:rsidR="00F6255E">
        <w:rPr>
          <w:rFonts w:eastAsia="Times New Roman"/>
          <w:bdr w:val="none" w:sz="0" w:space="0" w:color="auto" w:frame="1"/>
          <w:shd w:val="clear" w:color="auto" w:fill="FFFFFF"/>
        </w:rPr>
        <w:t>technology</w:t>
      </w:r>
      <w:r w:rsidR="00696666" w:rsidRPr="00900D0D">
        <w:rPr>
          <w:rFonts w:eastAsia="Times New Roman"/>
          <w:bdr w:val="none" w:sz="0" w:space="0" w:color="auto" w:frame="1"/>
          <w:shd w:val="clear" w:color="auto" w:fill="FFFFFF"/>
        </w:rPr>
        <w:t xml:space="preserve"> occup</w:t>
      </w:r>
      <w:r w:rsidRPr="00900D0D">
        <w:rPr>
          <w:rFonts w:eastAsia="Times New Roman"/>
          <w:bdr w:val="none" w:sz="0" w:space="0" w:color="auto" w:frame="1"/>
          <w:shd w:val="clear" w:color="auto" w:fill="FFFFFF"/>
        </w:rPr>
        <w:t>ation cluster</w:t>
      </w:r>
      <w:r w:rsidR="00696666" w:rsidRPr="00900D0D">
        <w:rPr>
          <w:rFonts w:eastAsia="Times New Roman"/>
          <w:bdr w:val="none" w:sz="0" w:space="0" w:color="auto" w:frame="1"/>
          <w:shd w:val="clear" w:color="auto" w:fill="FFFFFF"/>
        </w:rPr>
        <w:t xml:space="preserve"> </w:t>
      </w:r>
      <w:r w:rsidRPr="00900D0D">
        <w:rPr>
          <w:rFonts w:eastAsia="Times New Roman"/>
          <w:bdr w:val="none" w:sz="0" w:space="0" w:color="auto" w:frame="1"/>
          <w:shd w:val="clear" w:color="auto" w:fill="FFFFFF"/>
        </w:rPr>
        <w:t>employment is projected to</w:t>
      </w:r>
      <w:r w:rsidR="00234D68" w:rsidRPr="00900D0D">
        <w:t xml:space="preserve"> </w:t>
      </w:r>
      <w:r w:rsidRPr="00900D0D">
        <w:t xml:space="preserve">decline one </w:t>
      </w:r>
      <w:r w:rsidR="002D6060" w:rsidRPr="00900D0D">
        <w:t>percent</w:t>
      </w:r>
      <w:r w:rsidR="00234D68" w:rsidRPr="00900D0D">
        <w:t xml:space="preserve"> between 2015 and 202</w:t>
      </w:r>
      <w:r w:rsidRPr="00900D0D">
        <w:t>5</w:t>
      </w:r>
      <w:r w:rsidR="00234D68" w:rsidRPr="00900D0D">
        <w:t xml:space="preserve"> i</w:t>
      </w:r>
      <w:r w:rsidR="00234D68" w:rsidRPr="00900D0D">
        <w:rPr>
          <w:rFonts w:eastAsia="Times New Roman"/>
          <w:bdr w:val="none" w:sz="0" w:space="0" w:color="auto" w:frame="1"/>
          <w:shd w:val="clear" w:color="auto" w:fill="FFFFFF"/>
        </w:rPr>
        <w:t xml:space="preserve">n the </w:t>
      </w:r>
      <w:r w:rsidR="00662070" w:rsidRPr="00900D0D">
        <w:rPr>
          <w:rFonts w:eastAsia="Times New Roman"/>
          <w:bdr w:val="none" w:sz="0" w:space="0" w:color="auto" w:frame="1"/>
          <w:shd w:val="clear" w:color="auto" w:fill="FFFFFF"/>
        </w:rPr>
        <w:t>Riverside</w:t>
      </w:r>
      <w:r w:rsidR="00A664C4" w:rsidRPr="00900D0D">
        <w:rPr>
          <w:rFonts w:eastAsia="Times New Roman"/>
          <w:bdr w:val="none" w:sz="0" w:space="0" w:color="auto" w:frame="1"/>
          <w:shd w:val="clear" w:color="auto" w:fill="FFFFFF"/>
        </w:rPr>
        <w:t>-</w:t>
      </w:r>
      <w:r w:rsidR="00662070" w:rsidRPr="00900D0D">
        <w:rPr>
          <w:rFonts w:eastAsia="Times New Roman"/>
          <w:bdr w:val="none" w:sz="0" w:space="0" w:color="auto" w:frame="1"/>
          <w:shd w:val="clear" w:color="auto" w:fill="FFFFFF"/>
        </w:rPr>
        <w:t>San Bernardino</w:t>
      </w:r>
      <w:r w:rsidR="00A664C4" w:rsidRPr="00900D0D">
        <w:rPr>
          <w:rFonts w:eastAsia="Times New Roman"/>
          <w:bdr w:val="none" w:sz="0" w:space="0" w:color="auto" w:frame="1"/>
          <w:shd w:val="clear" w:color="auto" w:fill="FFFFFF"/>
        </w:rPr>
        <w:t>-</w:t>
      </w:r>
      <w:r w:rsidR="00662070" w:rsidRPr="00900D0D">
        <w:rPr>
          <w:rFonts w:eastAsia="Times New Roman"/>
          <w:bdr w:val="none" w:sz="0" w:space="0" w:color="auto" w:frame="1"/>
          <w:shd w:val="clear" w:color="auto" w:fill="FFFFFF"/>
        </w:rPr>
        <w:t>O</w:t>
      </w:r>
      <w:r w:rsidR="001F630C" w:rsidRPr="00900D0D">
        <w:rPr>
          <w:rFonts w:eastAsia="Times New Roman"/>
          <w:bdr w:val="none" w:sz="0" w:space="0" w:color="auto" w:frame="1"/>
          <w:shd w:val="clear" w:color="auto" w:fill="FFFFFF"/>
        </w:rPr>
        <w:t>ntario MSA region</w:t>
      </w:r>
      <w:r w:rsidRPr="00900D0D">
        <w:rPr>
          <w:rFonts w:eastAsia="Times New Roman"/>
          <w:bdr w:val="none" w:sz="0" w:space="0" w:color="auto" w:frame="1"/>
          <w:shd w:val="clear" w:color="auto" w:fill="FFFFFF"/>
        </w:rPr>
        <w:t xml:space="preserve">, losing </w:t>
      </w:r>
      <w:r w:rsidR="00C717D9">
        <w:rPr>
          <w:rFonts w:eastAsia="Times New Roman"/>
          <w:bdr w:val="none" w:sz="0" w:space="0" w:color="auto" w:frame="1"/>
          <w:shd w:val="clear" w:color="auto" w:fill="FFFFFF"/>
        </w:rPr>
        <w:t xml:space="preserve">around </w:t>
      </w:r>
      <w:r w:rsidRPr="00900D0D">
        <w:rPr>
          <w:rFonts w:eastAsia="Times New Roman"/>
          <w:bdr w:val="none" w:sz="0" w:space="0" w:color="auto" w:frame="1"/>
          <w:shd w:val="clear" w:color="auto" w:fill="FFFFFF"/>
        </w:rPr>
        <w:t>1</w:t>
      </w:r>
      <w:r w:rsidR="00C717D9">
        <w:rPr>
          <w:rFonts w:eastAsia="Times New Roman"/>
          <w:bdr w:val="none" w:sz="0" w:space="0" w:color="auto" w:frame="1"/>
          <w:shd w:val="clear" w:color="auto" w:fill="FFFFFF"/>
        </w:rPr>
        <w:t>40</w:t>
      </w:r>
      <w:r w:rsidRPr="00900D0D">
        <w:rPr>
          <w:rFonts w:eastAsia="Times New Roman"/>
          <w:bdr w:val="none" w:sz="0" w:space="0" w:color="auto" w:frame="1"/>
          <w:shd w:val="clear" w:color="auto" w:fill="FFFFFF"/>
        </w:rPr>
        <w:t xml:space="preserve"> jobs</w:t>
      </w:r>
      <w:r w:rsidR="0040211B" w:rsidRPr="00900D0D">
        <w:rPr>
          <w:rFonts w:eastAsia="Times New Roman"/>
          <w:bdr w:val="none" w:sz="0" w:space="0" w:color="auto" w:frame="1"/>
          <w:shd w:val="clear" w:color="auto" w:fill="FFFFFF"/>
        </w:rPr>
        <w:t xml:space="preserve">. </w:t>
      </w:r>
      <w:r>
        <w:rPr>
          <w:rFonts w:eastAsia="Times New Roman"/>
          <w:bdr w:val="none" w:sz="0" w:space="0" w:color="auto" w:frame="1"/>
          <w:shd w:val="clear" w:color="auto" w:fill="FFFFFF"/>
        </w:rPr>
        <w:t xml:space="preserve">Construction manager employment will </w:t>
      </w:r>
      <w:r w:rsidR="00D7450C">
        <w:rPr>
          <w:rFonts w:eastAsia="Times New Roman"/>
          <w:bdr w:val="none" w:sz="0" w:space="0" w:color="auto" w:frame="1"/>
          <w:shd w:val="clear" w:color="auto" w:fill="FFFFFF"/>
        </w:rPr>
        <w:t>shed</w:t>
      </w:r>
      <w:r>
        <w:rPr>
          <w:rFonts w:eastAsia="Times New Roman"/>
          <w:bdr w:val="none" w:sz="0" w:space="0" w:color="auto" w:frame="1"/>
          <w:shd w:val="clear" w:color="auto" w:fill="FFFFFF"/>
        </w:rPr>
        <w:t xml:space="preserve"> </w:t>
      </w:r>
      <w:r w:rsidR="00D7450C">
        <w:rPr>
          <w:rFonts w:eastAsia="Times New Roman"/>
          <w:bdr w:val="none" w:sz="0" w:space="0" w:color="auto" w:frame="1"/>
          <w:shd w:val="clear" w:color="auto" w:fill="FFFFFF"/>
        </w:rPr>
        <w:t>fewer than</w:t>
      </w:r>
      <w:r>
        <w:rPr>
          <w:rFonts w:eastAsia="Times New Roman"/>
          <w:bdr w:val="none" w:sz="0" w:space="0" w:color="auto" w:frame="1"/>
          <w:shd w:val="clear" w:color="auto" w:fill="FFFFFF"/>
        </w:rPr>
        <w:t xml:space="preserve"> 3</w:t>
      </w:r>
      <w:r w:rsidR="00C717D9">
        <w:rPr>
          <w:rFonts w:eastAsia="Times New Roman"/>
          <w:bdr w:val="none" w:sz="0" w:space="0" w:color="auto" w:frame="1"/>
          <w:shd w:val="clear" w:color="auto" w:fill="FFFFFF"/>
        </w:rPr>
        <w:t>5</w:t>
      </w:r>
      <w:r>
        <w:rPr>
          <w:rFonts w:eastAsia="Times New Roman"/>
          <w:bdr w:val="none" w:sz="0" w:space="0" w:color="auto" w:frame="1"/>
          <w:shd w:val="clear" w:color="auto" w:fill="FFFFFF"/>
        </w:rPr>
        <w:t xml:space="preserve">0 jobs, declining </w:t>
      </w:r>
      <w:bookmarkStart w:id="0" w:name="_GoBack"/>
      <w:bookmarkEnd w:id="0"/>
      <w:r>
        <w:rPr>
          <w:rFonts w:eastAsia="Times New Roman"/>
          <w:bdr w:val="none" w:sz="0" w:space="0" w:color="auto" w:frame="1"/>
          <w:shd w:val="clear" w:color="auto" w:fill="FFFFFF"/>
        </w:rPr>
        <w:t xml:space="preserve">eight percent and </w:t>
      </w:r>
      <w:r>
        <w:rPr>
          <w:rFonts w:eastAsia="Times New Roman" w:cs="Arial"/>
        </w:rPr>
        <w:t xml:space="preserve">first-line supervisors of construction trades and extraction workers employment will add more than 200 jobs, increasing three percent. </w:t>
      </w:r>
      <w:r w:rsidR="003451C1" w:rsidRPr="00900D0D">
        <w:t xml:space="preserve">Based on projections for </w:t>
      </w:r>
      <w:r w:rsidR="005D1920" w:rsidRPr="00900D0D">
        <w:t>the MSA</w:t>
      </w:r>
      <w:r w:rsidR="003451C1" w:rsidRPr="00900D0D">
        <w:t>, there will be</w:t>
      </w:r>
      <w:r>
        <w:t xml:space="preserve"> more than</w:t>
      </w:r>
      <w:r w:rsidR="003451C1" w:rsidRPr="00900D0D">
        <w:t xml:space="preserve"> </w:t>
      </w:r>
      <w:r w:rsidRPr="00900D0D">
        <w:t>2</w:t>
      </w:r>
      <w:r>
        <w:t>10</w:t>
      </w:r>
      <w:r w:rsidR="00B06663" w:rsidRPr="00900D0D">
        <w:t xml:space="preserve"> </w:t>
      </w:r>
      <w:r w:rsidR="003451C1" w:rsidRPr="00900D0D">
        <w:t>job openings</w:t>
      </w:r>
      <w:r w:rsidR="00212BF6" w:rsidRPr="00900D0D">
        <w:t xml:space="preserve"> each year during the </w:t>
      </w:r>
      <w:r w:rsidR="00B06663" w:rsidRPr="00900D0D">
        <w:t>five</w:t>
      </w:r>
      <w:r w:rsidR="00212BF6" w:rsidRPr="00900D0D">
        <w:t>-year projection period</w:t>
      </w:r>
      <w:r w:rsidR="008104EC" w:rsidRPr="00900D0D">
        <w:t xml:space="preserve"> due to replacement need</w:t>
      </w:r>
      <w:r w:rsidRPr="00900D0D">
        <w:t xml:space="preserve"> for these occupations</w:t>
      </w:r>
      <w:r w:rsidR="008104EC" w:rsidRPr="00900D0D">
        <w:t xml:space="preserve"> (e.g. retirements)</w:t>
      </w:r>
      <w:r w:rsidR="00212BF6" w:rsidRPr="00900D0D">
        <w:t>.</w:t>
      </w:r>
      <w:r>
        <w:t xml:space="preserve"> Construction managers will have nearly 90 job openings and </w:t>
      </w:r>
      <w:r>
        <w:rPr>
          <w:rFonts w:eastAsia="Times New Roman" w:cs="Arial"/>
        </w:rPr>
        <w:t>first-line supervisors of construction trades and extraction workers will have almost 130 job openings each year</w:t>
      </w:r>
      <w:r w:rsidR="00D7450C">
        <w:rPr>
          <w:rFonts w:eastAsia="Times New Roman" w:cs="Arial"/>
        </w:rPr>
        <w:t xml:space="preserve"> during the projection period</w:t>
      </w:r>
      <w:r>
        <w:rPr>
          <w:rFonts w:eastAsia="Times New Roman" w:cs="Arial"/>
        </w:rPr>
        <w:t xml:space="preserve">. </w:t>
      </w:r>
      <w:r w:rsidR="00BE02D2">
        <w:rPr>
          <w:rFonts w:eastAsia="Times New Roman" w:cs="Arial"/>
        </w:rPr>
        <w:t xml:space="preserve"> There were 558 </w:t>
      </w:r>
      <w:r w:rsidR="00FB0C61">
        <w:rPr>
          <w:rFonts w:eastAsia="Times New Roman" w:cs="Arial"/>
        </w:rPr>
        <w:t xml:space="preserve">total </w:t>
      </w:r>
      <w:r w:rsidR="00BE02D2">
        <w:rPr>
          <w:rFonts w:eastAsia="Times New Roman" w:cs="Arial"/>
        </w:rPr>
        <w:t>job postings for the occupations in th</w:t>
      </w:r>
      <w:r w:rsidR="00FB0C61">
        <w:rPr>
          <w:rFonts w:eastAsia="Times New Roman" w:cs="Arial"/>
        </w:rPr>
        <w:t>is</w:t>
      </w:r>
      <w:r w:rsidR="00BE02D2">
        <w:rPr>
          <w:rFonts w:eastAsia="Times New Roman" w:cs="Arial"/>
        </w:rPr>
        <w:t xml:space="preserve"> cluster in 2015, 440 in 2014, and 315 job postings in 2013. Year-to-date 2016, there ha</w:t>
      </w:r>
      <w:r w:rsidR="00FB0C61">
        <w:rPr>
          <w:rFonts w:eastAsia="Times New Roman" w:cs="Arial"/>
        </w:rPr>
        <w:t>ve</w:t>
      </w:r>
      <w:r w:rsidR="00BE02D2">
        <w:rPr>
          <w:rFonts w:eastAsia="Times New Roman" w:cs="Arial"/>
        </w:rPr>
        <w:t xml:space="preserve"> been 624 </w:t>
      </w:r>
      <w:r w:rsidR="00FB0C61">
        <w:rPr>
          <w:rFonts w:eastAsia="Times New Roman" w:cs="Arial"/>
        </w:rPr>
        <w:t xml:space="preserve">total </w:t>
      </w:r>
      <w:r w:rsidR="00BE02D2">
        <w:rPr>
          <w:rFonts w:eastAsia="Times New Roman" w:cs="Arial"/>
        </w:rPr>
        <w:t>job postings for the occupations in this cluster.</w:t>
      </w:r>
    </w:p>
    <w:p w:rsidR="00482470" w:rsidRDefault="00482470" w:rsidP="00172B0E">
      <w:pPr>
        <w:pStyle w:val="Quote"/>
      </w:pPr>
    </w:p>
    <w:p w:rsidR="00482470" w:rsidRDefault="00482470" w:rsidP="00172B0E">
      <w:pPr>
        <w:pStyle w:val="Quote"/>
      </w:pPr>
    </w:p>
    <w:p w:rsidR="00AE0272" w:rsidRPr="00172B0E" w:rsidRDefault="00040AFD" w:rsidP="00172B0E">
      <w:pPr>
        <w:pStyle w:val="Quote"/>
      </w:pPr>
      <w:r w:rsidRPr="00172B0E">
        <w:t xml:space="preserve">Exhibit 1: </w:t>
      </w:r>
      <w:r w:rsidR="00A67E38">
        <w:t>Ten</w:t>
      </w:r>
      <w:r w:rsidR="00172B0E">
        <w:t xml:space="preserve">-year </w:t>
      </w:r>
      <w:r w:rsidR="0096110A">
        <w:t>o</w:t>
      </w:r>
      <w:r w:rsidR="00172B0E">
        <w:t xml:space="preserve">ccupation </w:t>
      </w:r>
      <w:r w:rsidR="0096110A">
        <w:t>p</w:t>
      </w:r>
      <w:r w:rsidR="00172B0E">
        <w:t xml:space="preserve">rojections for </w:t>
      </w:r>
      <w:r w:rsidR="003D526D">
        <w:t xml:space="preserve">the </w:t>
      </w:r>
      <w:r w:rsidR="003D526D">
        <w:rPr>
          <w:rFonts w:eastAsia="Times New Roman"/>
          <w:bdr w:val="none" w:sz="0" w:space="0" w:color="auto" w:frame="1"/>
          <w:shd w:val="clear" w:color="auto" w:fill="FFFFFF"/>
        </w:rPr>
        <w:t xml:space="preserve">construction </w:t>
      </w:r>
      <w:r w:rsidR="00F6255E">
        <w:rPr>
          <w:rFonts w:eastAsia="Times New Roman"/>
          <w:bdr w:val="none" w:sz="0" w:space="0" w:color="auto" w:frame="1"/>
          <w:shd w:val="clear" w:color="auto" w:fill="FFFFFF"/>
        </w:rPr>
        <w:t>technology</w:t>
      </w:r>
      <w:r w:rsidR="00F6255E" w:rsidRPr="00900D0D">
        <w:rPr>
          <w:rFonts w:eastAsia="Times New Roman"/>
          <w:bdr w:val="none" w:sz="0" w:space="0" w:color="auto" w:frame="1"/>
          <w:shd w:val="clear" w:color="auto" w:fill="FFFFFF"/>
        </w:rPr>
        <w:t xml:space="preserve"> </w:t>
      </w:r>
      <w:r w:rsidR="003D526D">
        <w:rPr>
          <w:rFonts w:eastAsia="Times New Roman"/>
          <w:bdr w:val="none" w:sz="0" w:space="0" w:color="auto" w:frame="1"/>
          <w:shd w:val="clear" w:color="auto" w:fill="FFFFFF"/>
        </w:rPr>
        <w:t>occupation cluster</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6"/>
        <w:gridCol w:w="1152"/>
        <w:gridCol w:w="1152"/>
        <w:gridCol w:w="1152"/>
        <w:gridCol w:w="1152"/>
        <w:gridCol w:w="1152"/>
      </w:tblGrid>
      <w:tr w:rsidR="007E0C3B" w:rsidRPr="007E0C3B" w:rsidTr="008100EC">
        <w:trPr>
          <w:trHeight w:val="784"/>
        </w:trPr>
        <w:tc>
          <w:tcPr>
            <w:tcW w:w="3456" w:type="dxa"/>
            <w:shd w:val="clear" w:color="000000" w:fill="204354"/>
            <w:vAlign w:val="center"/>
            <w:hideMark/>
          </w:tcPr>
          <w:p w:rsidR="007E0C3B" w:rsidRPr="007E0C3B" w:rsidRDefault="00482470" w:rsidP="007E0C3B">
            <w:pPr>
              <w:spacing w:after="0" w:line="240" w:lineRule="auto"/>
              <w:rPr>
                <w:rFonts w:eastAsia="Times New Roman" w:cs="Arial"/>
                <w:color w:val="FFFFFF"/>
              </w:rPr>
            </w:pPr>
            <w:r>
              <w:rPr>
                <w:rFonts w:eastAsia="Times New Roman" w:cs="Arial"/>
                <w:color w:val="FFFFFF"/>
              </w:rPr>
              <w:t>Occupation (SOC)</w:t>
            </w:r>
          </w:p>
        </w:tc>
        <w:tc>
          <w:tcPr>
            <w:tcW w:w="1152" w:type="dxa"/>
            <w:shd w:val="clear" w:color="000000" w:fill="204354"/>
            <w:vAlign w:val="center"/>
            <w:hideMark/>
          </w:tcPr>
          <w:p w:rsidR="007E0C3B" w:rsidRPr="007E0C3B" w:rsidRDefault="007E0C3B" w:rsidP="007E0C3B">
            <w:pPr>
              <w:spacing w:after="0" w:line="240" w:lineRule="auto"/>
              <w:jc w:val="center"/>
              <w:rPr>
                <w:rFonts w:eastAsia="Times New Roman" w:cs="Arial"/>
                <w:color w:val="FFFFFF"/>
              </w:rPr>
            </w:pPr>
            <w:r w:rsidRPr="007E0C3B">
              <w:rPr>
                <w:rFonts w:eastAsia="Times New Roman" w:cs="Arial"/>
                <w:color w:val="FFFFFF"/>
              </w:rPr>
              <w:t>2015 Jobs</w:t>
            </w:r>
          </w:p>
        </w:tc>
        <w:tc>
          <w:tcPr>
            <w:tcW w:w="1152" w:type="dxa"/>
            <w:shd w:val="clear" w:color="000000" w:fill="204354"/>
            <w:vAlign w:val="center"/>
            <w:hideMark/>
          </w:tcPr>
          <w:p w:rsidR="00A67E38" w:rsidRDefault="007E0C3B" w:rsidP="00A67E38">
            <w:pPr>
              <w:spacing w:after="0" w:line="240" w:lineRule="auto"/>
              <w:jc w:val="center"/>
              <w:rPr>
                <w:rFonts w:eastAsia="Times New Roman" w:cs="Arial"/>
                <w:color w:val="FFFFFF"/>
              </w:rPr>
            </w:pPr>
            <w:r w:rsidRPr="007E0C3B">
              <w:rPr>
                <w:rFonts w:eastAsia="Times New Roman" w:cs="Arial"/>
                <w:color w:val="FFFFFF"/>
              </w:rPr>
              <w:t>202</w:t>
            </w:r>
            <w:r w:rsidR="00A67E38">
              <w:rPr>
                <w:rFonts w:eastAsia="Times New Roman" w:cs="Arial"/>
                <w:color w:val="FFFFFF"/>
              </w:rPr>
              <w:t>5</w:t>
            </w:r>
          </w:p>
          <w:p w:rsidR="007E0C3B" w:rsidRPr="007E0C3B" w:rsidRDefault="007E0C3B" w:rsidP="00A67E38">
            <w:pPr>
              <w:spacing w:after="0" w:line="240" w:lineRule="auto"/>
              <w:jc w:val="center"/>
              <w:rPr>
                <w:rFonts w:eastAsia="Times New Roman" w:cs="Arial"/>
                <w:color w:val="FFFFFF"/>
              </w:rPr>
            </w:pPr>
            <w:r w:rsidRPr="007E0C3B">
              <w:rPr>
                <w:rFonts w:eastAsia="Times New Roman" w:cs="Arial"/>
                <w:color w:val="FFFFFF"/>
              </w:rPr>
              <w:t>Jobs</w:t>
            </w:r>
          </w:p>
        </w:tc>
        <w:tc>
          <w:tcPr>
            <w:tcW w:w="1152" w:type="dxa"/>
            <w:shd w:val="clear" w:color="000000" w:fill="204354"/>
            <w:vAlign w:val="center"/>
            <w:hideMark/>
          </w:tcPr>
          <w:p w:rsidR="007E0C3B" w:rsidRPr="007E0C3B" w:rsidRDefault="00F51E15" w:rsidP="007E0C3B">
            <w:pPr>
              <w:spacing w:after="0" w:line="240" w:lineRule="auto"/>
              <w:jc w:val="center"/>
              <w:rPr>
                <w:rFonts w:eastAsia="Times New Roman" w:cs="Arial"/>
                <w:color w:val="FFFFFF"/>
              </w:rPr>
            </w:pPr>
            <w:r>
              <w:rPr>
                <w:rFonts w:eastAsia="Times New Roman" w:cs="Arial"/>
                <w:color w:val="FFFFFF"/>
              </w:rPr>
              <w:t>Ten</w:t>
            </w:r>
            <w:r w:rsidR="007E0C3B" w:rsidRPr="007E0C3B">
              <w:rPr>
                <w:rFonts w:eastAsia="Times New Roman" w:cs="Arial"/>
                <w:color w:val="FFFFFF"/>
              </w:rPr>
              <w:t>-Y</w:t>
            </w:r>
            <w:r w:rsidR="00455775">
              <w:rPr>
                <w:rFonts w:eastAsia="Times New Roman" w:cs="Arial"/>
                <w:color w:val="FFFFFF"/>
              </w:rPr>
              <w:t>ea</w:t>
            </w:r>
            <w:r w:rsidR="007E0C3B" w:rsidRPr="007E0C3B">
              <w:rPr>
                <w:rFonts w:eastAsia="Times New Roman" w:cs="Arial"/>
                <w:color w:val="FFFFFF"/>
              </w:rPr>
              <w:t>r Change</w:t>
            </w:r>
          </w:p>
        </w:tc>
        <w:tc>
          <w:tcPr>
            <w:tcW w:w="1152" w:type="dxa"/>
            <w:shd w:val="clear" w:color="000000" w:fill="204354"/>
            <w:vAlign w:val="center"/>
            <w:hideMark/>
          </w:tcPr>
          <w:p w:rsidR="007E0C3B" w:rsidRPr="007E0C3B" w:rsidRDefault="00F51E15" w:rsidP="007E0C3B">
            <w:pPr>
              <w:spacing w:after="0" w:line="240" w:lineRule="auto"/>
              <w:jc w:val="center"/>
              <w:rPr>
                <w:rFonts w:eastAsia="Times New Roman" w:cs="Arial"/>
                <w:color w:val="FFFFFF"/>
              </w:rPr>
            </w:pPr>
            <w:r>
              <w:rPr>
                <w:rFonts w:eastAsia="Times New Roman" w:cs="Arial"/>
                <w:color w:val="FFFFFF"/>
              </w:rPr>
              <w:t>Ten</w:t>
            </w:r>
            <w:r w:rsidR="007E0C3B" w:rsidRPr="007E0C3B">
              <w:rPr>
                <w:rFonts w:eastAsia="Times New Roman" w:cs="Arial"/>
                <w:color w:val="FFFFFF"/>
              </w:rPr>
              <w:t>-Y</w:t>
            </w:r>
            <w:r w:rsidR="00455775">
              <w:rPr>
                <w:rFonts w:eastAsia="Times New Roman" w:cs="Arial"/>
                <w:color w:val="FFFFFF"/>
              </w:rPr>
              <w:t>ea</w:t>
            </w:r>
            <w:r w:rsidR="007E0C3B" w:rsidRPr="007E0C3B">
              <w:rPr>
                <w:rFonts w:eastAsia="Times New Roman" w:cs="Arial"/>
                <w:color w:val="FFFFFF"/>
              </w:rPr>
              <w:t>r % Change</w:t>
            </w:r>
          </w:p>
        </w:tc>
        <w:tc>
          <w:tcPr>
            <w:tcW w:w="1152" w:type="dxa"/>
            <w:shd w:val="clear" w:color="000000" w:fill="204354"/>
            <w:vAlign w:val="center"/>
            <w:hideMark/>
          </w:tcPr>
          <w:p w:rsidR="007E0C3B" w:rsidRPr="00D7450C" w:rsidRDefault="007E0C3B" w:rsidP="007E0C3B">
            <w:pPr>
              <w:spacing w:after="0" w:line="240" w:lineRule="auto"/>
              <w:jc w:val="center"/>
              <w:rPr>
                <w:rFonts w:eastAsia="Times New Roman" w:cs="Arial"/>
                <w:color w:val="FFFFFF"/>
              </w:rPr>
            </w:pPr>
            <w:r w:rsidRPr="00D7450C">
              <w:rPr>
                <w:rFonts w:eastAsia="Times New Roman" w:cs="Arial"/>
                <w:color w:val="FFFFFF"/>
              </w:rPr>
              <w:t>Annual Openings</w:t>
            </w:r>
          </w:p>
        </w:tc>
      </w:tr>
      <w:tr w:rsidR="00075F60" w:rsidRPr="007E0C3B" w:rsidTr="008100EC">
        <w:trPr>
          <w:trHeight w:val="784"/>
        </w:trPr>
        <w:tc>
          <w:tcPr>
            <w:tcW w:w="3456" w:type="dxa"/>
            <w:shd w:val="clear" w:color="auto" w:fill="auto"/>
            <w:noWrap/>
            <w:vAlign w:val="center"/>
            <w:hideMark/>
          </w:tcPr>
          <w:p w:rsidR="00075F60" w:rsidRPr="007E0C3B" w:rsidRDefault="00482470" w:rsidP="00455775">
            <w:pPr>
              <w:spacing w:after="0" w:line="240" w:lineRule="auto"/>
              <w:rPr>
                <w:rFonts w:eastAsia="Times New Roman" w:cs="Arial"/>
              </w:rPr>
            </w:pPr>
            <w:r>
              <w:rPr>
                <w:rFonts w:eastAsia="Times New Roman" w:cs="Arial"/>
              </w:rPr>
              <w:t>Construction Managers (11-9021)</w:t>
            </w:r>
          </w:p>
        </w:tc>
        <w:tc>
          <w:tcPr>
            <w:tcW w:w="1152" w:type="dxa"/>
            <w:shd w:val="clear" w:color="auto" w:fill="auto"/>
            <w:noWrap/>
            <w:vAlign w:val="center"/>
            <w:hideMark/>
          </w:tcPr>
          <w:p w:rsidR="00075F60" w:rsidRPr="00075F60" w:rsidRDefault="00482470" w:rsidP="00075F60">
            <w:pPr>
              <w:spacing w:after="0" w:line="240" w:lineRule="auto"/>
              <w:jc w:val="center"/>
              <w:rPr>
                <w:rFonts w:eastAsia="Times New Roman" w:cs="Arial"/>
              </w:rPr>
            </w:pPr>
            <w:r>
              <w:rPr>
                <w:rFonts w:eastAsia="Times New Roman" w:cs="Arial"/>
              </w:rPr>
              <w:t>4,417</w:t>
            </w:r>
          </w:p>
        </w:tc>
        <w:tc>
          <w:tcPr>
            <w:tcW w:w="1152" w:type="dxa"/>
            <w:shd w:val="clear" w:color="auto" w:fill="auto"/>
            <w:noWrap/>
            <w:vAlign w:val="center"/>
            <w:hideMark/>
          </w:tcPr>
          <w:p w:rsidR="00075F60" w:rsidRPr="00075F60" w:rsidRDefault="00482470" w:rsidP="00075F60">
            <w:pPr>
              <w:spacing w:after="0" w:line="240" w:lineRule="auto"/>
              <w:jc w:val="center"/>
              <w:rPr>
                <w:rFonts w:eastAsia="Times New Roman" w:cs="Arial"/>
              </w:rPr>
            </w:pPr>
            <w:r>
              <w:rPr>
                <w:rFonts w:eastAsia="Times New Roman" w:cs="Arial"/>
              </w:rPr>
              <w:t>4,174</w:t>
            </w:r>
          </w:p>
        </w:tc>
        <w:tc>
          <w:tcPr>
            <w:tcW w:w="1152" w:type="dxa"/>
            <w:shd w:val="clear" w:color="auto" w:fill="auto"/>
            <w:noWrap/>
            <w:vAlign w:val="center"/>
            <w:hideMark/>
          </w:tcPr>
          <w:p w:rsidR="00075F60" w:rsidRPr="00482470" w:rsidRDefault="00482470" w:rsidP="00A67E38">
            <w:pPr>
              <w:spacing w:after="0" w:line="240" w:lineRule="auto"/>
              <w:jc w:val="center"/>
              <w:rPr>
                <w:rFonts w:eastAsia="Times New Roman" w:cs="Arial"/>
                <w:color w:val="FF0000"/>
              </w:rPr>
            </w:pPr>
            <w:r w:rsidRPr="00482470">
              <w:rPr>
                <w:rFonts w:eastAsia="Times New Roman" w:cs="Arial"/>
                <w:color w:val="FF0000"/>
              </w:rPr>
              <w:t>(</w:t>
            </w:r>
            <w:r w:rsidR="00A67E38">
              <w:rPr>
                <w:rFonts w:eastAsia="Times New Roman" w:cs="Arial"/>
                <w:color w:val="FF0000"/>
              </w:rPr>
              <w:t>345</w:t>
            </w:r>
            <w:r w:rsidRPr="00482470">
              <w:rPr>
                <w:rFonts w:eastAsia="Times New Roman" w:cs="Arial"/>
                <w:color w:val="FF0000"/>
              </w:rPr>
              <w:t>)</w:t>
            </w:r>
          </w:p>
        </w:tc>
        <w:tc>
          <w:tcPr>
            <w:tcW w:w="1152" w:type="dxa"/>
            <w:shd w:val="clear" w:color="auto" w:fill="auto"/>
            <w:noWrap/>
            <w:vAlign w:val="center"/>
            <w:hideMark/>
          </w:tcPr>
          <w:p w:rsidR="00075F60" w:rsidRPr="00482470" w:rsidRDefault="00482470" w:rsidP="00A67E38">
            <w:pPr>
              <w:spacing w:after="0" w:line="240" w:lineRule="auto"/>
              <w:jc w:val="center"/>
              <w:rPr>
                <w:rFonts w:eastAsia="Times New Roman" w:cs="Arial"/>
                <w:color w:val="FF0000"/>
              </w:rPr>
            </w:pPr>
            <w:r w:rsidRPr="00482470">
              <w:rPr>
                <w:rFonts w:eastAsia="Times New Roman" w:cs="Arial"/>
                <w:color w:val="FF0000"/>
              </w:rPr>
              <w:t>(</w:t>
            </w:r>
            <w:r w:rsidR="00A67E38">
              <w:rPr>
                <w:rFonts w:eastAsia="Times New Roman" w:cs="Arial"/>
                <w:color w:val="FF0000"/>
              </w:rPr>
              <w:t>8</w:t>
            </w:r>
            <w:r w:rsidRPr="00482470">
              <w:rPr>
                <w:rFonts w:eastAsia="Times New Roman" w:cs="Arial"/>
                <w:color w:val="FF0000"/>
              </w:rPr>
              <w:t>%)</w:t>
            </w:r>
          </w:p>
        </w:tc>
        <w:tc>
          <w:tcPr>
            <w:tcW w:w="1152" w:type="dxa"/>
            <w:shd w:val="clear" w:color="auto" w:fill="auto"/>
            <w:noWrap/>
            <w:vAlign w:val="center"/>
            <w:hideMark/>
          </w:tcPr>
          <w:p w:rsidR="00075F60" w:rsidRPr="00D7450C" w:rsidRDefault="00A67E38" w:rsidP="00455775">
            <w:pPr>
              <w:spacing w:after="0" w:line="240" w:lineRule="auto"/>
              <w:jc w:val="center"/>
              <w:rPr>
                <w:rFonts w:eastAsia="Times New Roman" w:cs="Arial"/>
                <w:b/>
              </w:rPr>
            </w:pPr>
            <w:r w:rsidRPr="00D7450C">
              <w:rPr>
                <w:rFonts w:eastAsia="Times New Roman" w:cs="Arial"/>
                <w:b/>
              </w:rPr>
              <w:t>88</w:t>
            </w:r>
          </w:p>
        </w:tc>
      </w:tr>
      <w:tr w:rsidR="00075F60" w:rsidRPr="007E0C3B" w:rsidTr="008100EC">
        <w:trPr>
          <w:trHeight w:val="784"/>
        </w:trPr>
        <w:tc>
          <w:tcPr>
            <w:tcW w:w="3456" w:type="dxa"/>
            <w:shd w:val="clear" w:color="auto" w:fill="auto"/>
            <w:noWrap/>
            <w:vAlign w:val="center"/>
            <w:hideMark/>
          </w:tcPr>
          <w:p w:rsidR="00075F60" w:rsidRPr="007E0C3B" w:rsidRDefault="00482470" w:rsidP="00482470">
            <w:pPr>
              <w:spacing w:after="0" w:line="240" w:lineRule="auto"/>
              <w:rPr>
                <w:rFonts w:eastAsia="Times New Roman" w:cs="Arial"/>
              </w:rPr>
            </w:pPr>
            <w:r>
              <w:rPr>
                <w:rFonts w:eastAsia="Times New Roman" w:cs="Arial"/>
              </w:rPr>
              <w:t>First-Line Supervisors of Construction Trades and Extraction Workers (47-1011)</w:t>
            </w:r>
          </w:p>
        </w:tc>
        <w:tc>
          <w:tcPr>
            <w:tcW w:w="1152" w:type="dxa"/>
            <w:shd w:val="clear" w:color="auto" w:fill="auto"/>
            <w:noWrap/>
            <w:vAlign w:val="center"/>
            <w:hideMark/>
          </w:tcPr>
          <w:p w:rsidR="00075F60" w:rsidRPr="00075F60" w:rsidRDefault="00482470" w:rsidP="00075F60">
            <w:pPr>
              <w:spacing w:after="0" w:line="240" w:lineRule="auto"/>
              <w:jc w:val="center"/>
              <w:rPr>
                <w:rFonts w:eastAsia="Times New Roman" w:cs="Arial"/>
              </w:rPr>
            </w:pPr>
            <w:r>
              <w:rPr>
                <w:rFonts w:eastAsia="Times New Roman" w:cs="Arial"/>
              </w:rPr>
              <w:t>6,341</w:t>
            </w:r>
          </w:p>
        </w:tc>
        <w:tc>
          <w:tcPr>
            <w:tcW w:w="1152" w:type="dxa"/>
            <w:shd w:val="clear" w:color="auto" w:fill="auto"/>
            <w:noWrap/>
            <w:vAlign w:val="center"/>
            <w:hideMark/>
          </w:tcPr>
          <w:p w:rsidR="00075F60" w:rsidRPr="00075F60" w:rsidRDefault="00482470" w:rsidP="00A67E38">
            <w:pPr>
              <w:spacing w:after="0" w:line="240" w:lineRule="auto"/>
              <w:jc w:val="center"/>
              <w:rPr>
                <w:rFonts w:eastAsia="Times New Roman" w:cs="Arial"/>
              </w:rPr>
            </w:pPr>
            <w:r>
              <w:rPr>
                <w:rFonts w:eastAsia="Times New Roman" w:cs="Arial"/>
              </w:rPr>
              <w:t>6,</w:t>
            </w:r>
            <w:r w:rsidR="00A67E38">
              <w:rPr>
                <w:rFonts w:eastAsia="Times New Roman" w:cs="Arial"/>
              </w:rPr>
              <w:t>549</w:t>
            </w:r>
          </w:p>
        </w:tc>
        <w:tc>
          <w:tcPr>
            <w:tcW w:w="1152" w:type="dxa"/>
            <w:shd w:val="clear" w:color="auto" w:fill="auto"/>
            <w:noWrap/>
            <w:vAlign w:val="center"/>
            <w:hideMark/>
          </w:tcPr>
          <w:p w:rsidR="00075F60" w:rsidRPr="00A67E38" w:rsidRDefault="00A67E38" w:rsidP="00075F60">
            <w:pPr>
              <w:spacing w:after="0" w:line="240" w:lineRule="auto"/>
              <w:jc w:val="center"/>
              <w:rPr>
                <w:rFonts w:eastAsia="Times New Roman" w:cs="Arial"/>
              </w:rPr>
            </w:pPr>
            <w:r>
              <w:rPr>
                <w:rFonts w:eastAsia="Times New Roman" w:cs="Arial"/>
              </w:rPr>
              <w:t>208</w:t>
            </w:r>
          </w:p>
        </w:tc>
        <w:tc>
          <w:tcPr>
            <w:tcW w:w="1152" w:type="dxa"/>
            <w:shd w:val="clear" w:color="auto" w:fill="auto"/>
            <w:noWrap/>
            <w:vAlign w:val="center"/>
            <w:hideMark/>
          </w:tcPr>
          <w:p w:rsidR="00075F60" w:rsidRPr="00482470" w:rsidRDefault="00A67E38" w:rsidP="00A67E38">
            <w:pPr>
              <w:spacing w:after="0" w:line="240" w:lineRule="auto"/>
              <w:jc w:val="center"/>
              <w:rPr>
                <w:rFonts w:eastAsia="Times New Roman" w:cs="Arial"/>
                <w:color w:val="FF0000"/>
              </w:rPr>
            </w:pPr>
            <w:r w:rsidRPr="00A67E38">
              <w:rPr>
                <w:rFonts w:eastAsia="Times New Roman" w:cs="Arial"/>
              </w:rPr>
              <w:t>3</w:t>
            </w:r>
            <w:r w:rsidR="00482470" w:rsidRPr="00A67E38">
              <w:rPr>
                <w:rFonts w:eastAsia="Times New Roman" w:cs="Arial"/>
              </w:rPr>
              <w:t>%</w:t>
            </w:r>
          </w:p>
        </w:tc>
        <w:tc>
          <w:tcPr>
            <w:tcW w:w="1152" w:type="dxa"/>
            <w:shd w:val="clear" w:color="auto" w:fill="auto"/>
            <w:noWrap/>
            <w:vAlign w:val="center"/>
            <w:hideMark/>
          </w:tcPr>
          <w:p w:rsidR="00075F60" w:rsidRPr="00D7450C" w:rsidRDefault="00A67E38" w:rsidP="00455775">
            <w:pPr>
              <w:spacing w:after="0" w:line="240" w:lineRule="auto"/>
              <w:jc w:val="center"/>
              <w:rPr>
                <w:rFonts w:eastAsia="Times New Roman" w:cs="Arial"/>
                <w:b/>
              </w:rPr>
            </w:pPr>
            <w:r w:rsidRPr="00D7450C">
              <w:rPr>
                <w:rFonts w:eastAsia="Times New Roman" w:cs="Arial"/>
                <w:b/>
              </w:rPr>
              <w:t>125</w:t>
            </w:r>
          </w:p>
        </w:tc>
      </w:tr>
      <w:tr w:rsidR="0096110A" w:rsidRPr="007E0C3B" w:rsidTr="008100EC">
        <w:trPr>
          <w:trHeight w:val="784"/>
        </w:trPr>
        <w:tc>
          <w:tcPr>
            <w:tcW w:w="3456" w:type="dxa"/>
            <w:shd w:val="clear" w:color="auto" w:fill="auto"/>
            <w:noWrap/>
            <w:vAlign w:val="center"/>
          </w:tcPr>
          <w:p w:rsidR="0096110A" w:rsidRPr="0096110A" w:rsidRDefault="0096110A" w:rsidP="00482470">
            <w:pPr>
              <w:spacing w:after="0" w:line="240" w:lineRule="auto"/>
              <w:rPr>
                <w:rFonts w:eastAsia="Times New Roman" w:cs="Arial"/>
                <w:b/>
              </w:rPr>
            </w:pPr>
            <w:r w:rsidRPr="0096110A">
              <w:rPr>
                <w:rFonts w:eastAsia="Times New Roman" w:cs="Arial"/>
                <w:b/>
              </w:rPr>
              <w:t>TOTAL</w:t>
            </w:r>
          </w:p>
        </w:tc>
        <w:tc>
          <w:tcPr>
            <w:tcW w:w="1152" w:type="dxa"/>
            <w:shd w:val="clear" w:color="auto" w:fill="auto"/>
            <w:noWrap/>
            <w:vAlign w:val="center"/>
          </w:tcPr>
          <w:p w:rsidR="0096110A" w:rsidRPr="0096110A" w:rsidRDefault="0096110A" w:rsidP="00A67E38">
            <w:pPr>
              <w:spacing w:after="0" w:line="240" w:lineRule="auto"/>
              <w:jc w:val="center"/>
              <w:rPr>
                <w:rFonts w:eastAsia="Times New Roman" w:cs="Arial"/>
                <w:b/>
              </w:rPr>
            </w:pPr>
            <w:r w:rsidRPr="0096110A">
              <w:rPr>
                <w:rFonts w:eastAsia="Times New Roman" w:cs="Arial"/>
                <w:b/>
              </w:rPr>
              <w:t>10,</w:t>
            </w:r>
            <w:r w:rsidR="00A67E38">
              <w:rPr>
                <w:rFonts w:eastAsia="Times New Roman" w:cs="Arial"/>
                <w:b/>
              </w:rPr>
              <w:t>758</w:t>
            </w:r>
          </w:p>
        </w:tc>
        <w:tc>
          <w:tcPr>
            <w:tcW w:w="1152" w:type="dxa"/>
            <w:shd w:val="clear" w:color="auto" w:fill="auto"/>
            <w:noWrap/>
            <w:vAlign w:val="center"/>
          </w:tcPr>
          <w:p w:rsidR="0096110A" w:rsidRPr="0096110A" w:rsidRDefault="0096110A" w:rsidP="00A67E38">
            <w:pPr>
              <w:spacing w:after="0" w:line="240" w:lineRule="auto"/>
              <w:jc w:val="center"/>
              <w:rPr>
                <w:rFonts w:eastAsia="Times New Roman" w:cs="Arial"/>
                <w:b/>
              </w:rPr>
            </w:pPr>
            <w:r w:rsidRPr="0096110A">
              <w:rPr>
                <w:rFonts w:eastAsia="Times New Roman" w:cs="Arial"/>
                <w:b/>
              </w:rPr>
              <w:t>10,</w:t>
            </w:r>
            <w:r w:rsidR="00A67E38">
              <w:rPr>
                <w:rFonts w:eastAsia="Times New Roman" w:cs="Arial"/>
                <w:b/>
              </w:rPr>
              <w:t>621</w:t>
            </w:r>
          </w:p>
        </w:tc>
        <w:tc>
          <w:tcPr>
            <w:tcW w:w="1152" w:type="dxa"/>
            <w:shd w:val="clear" w:color="auto" w:fill="auto"/>
            <w:noWrap/>
            <w:vAlign w:val="center"/>
          </w:tcPr>
          <w:p w:rsidR="0096110A" w:rsidRPr="0096110A" w:rsidRDefault="0096110A" w:rsidP="00A67E38">
            <w:pPr>
              <w:spacing w:after="0" w:line="240" w:lineRule="auto"/>
              <w:jc w:val="center"/>
              <w:rPr>
                <w:rFonts w:eastAsia="Times New Roman" w:cs="Arial"/>
                <w:b/>
                <w:color w:val="FF0000"/>
              </w:rPr>
            </w:pPr>
            <w:r w:rsidRPr="0096110A">
              <w:rPr>
                <w:rFonts w:eastAsia="Times New Roman" w:cs="Arial"/>
                <w:b/>
                <w:color w:val="FF0000"/>
              </w:rPr>
              <w:t>(</w:t>
            </w:r>
            <w:r w:rsidR="00A67E38">
              <w:rPr>
                <w:rFonts w:eastAsia="Times New Roman" w:cs="Arial"/>
                <w:b/>
                <w:color w:val="FF0000"/>
              </w:rPr>
              <w:t>137</w:t>
            </w:r>
            <w:r w:rsidRPr="0096110A">
              <w:rPr>
                <w:rFonts w:eastAsia="Times New Roman" w:cs="Arial"/>
                <w:b/>
                <w:color w:val="FF0000"/>
              </w:rPr>
              <w:t>)</w:t>
            </w:r>
          </w:p>
        </w:tc>
        <w:tc>
          <w:tcPr>
            <w:tcW w:w="1152" w:type="dxa"/>
            <w:shd w:val="clear" w:color="auto" w:fill="auto"/>
            <w:noWrap/>
            <w:vAlign w:val="center"/>
          </w:tcPr>
          <w:p w:rsidR="0096110A" w:rsidRPr="0096110A" w:rsidRDefault="0096110A" w:rsidP="00A67E38">
            <w:pPr>
              <w:spacing w:after="0" w:line="240" w:lineRule="auto"/>
              <w:jc w:val="center"/>
              <w:rPr>
                <w:rFonts w:eastAsia="Times New Roman" w:cs="Arial"/>
                <w:b/>
                <w:color w:val="FF0000"/>
              </w:rPr>
            </w:pPr>
            <w:r w:rsidRPr="0096110A">
              <w:rPr>
                <w:rFonts w:eastAsia="Times New Roman" w:cs="Arial"/>
                <w:b/>
                <w:color w:val="FF0000"/>
              </w:rPr>
              <w:t>(</w:t>
            </w:r>
            <w:r w:rsidR="00A67E38">
              <w:rPr>
                <w:rFonts w:eastAsia="Times New Roman" w:cs="Arial"/>
                <w:b/>
                <w:color w:val="FF0000"/>
              </w:rPr>
              <w:t>1</w:t>
            </w:r>
            <w:r w:rsidRPr="0096110A">
              <w:rPr>
                <w:rFonts w:eastAsia="Times New Roman" w:cs="Arial"/>
                <w:b/>
                <w:color w:val="FF0000"/>
              </w:rPr>
              <w:t>%)</w:t>
            </w:r>
          </w:p>
        </w:tc>
        <w:tc>
          <w:tcPr>
            <w:tcW w:w="1152" w:type="dxa"/>
            <w:shd w:val="clear" w:color="auto" w:fill="auto"/>
            <w:noWrap/>
            <w:vAlign w:val="center"/>
          </w:tcPr>
          <w:p w:rsidR="0096110A" w:rsidRPr="0096110A" w:rsidRDefault="00A67E38" w:rsidP="00455775">
            <w:pPr>
              <w:spacing w:after="0" w:line="240" w:lineRule="auto"/>
              <w:jc w:val="center"/>
              <w:rPr>
                <w:rFonts w:eastAsia="Times New Roman" w:cs="Arial"/>
                <w:b/>
              </w:rPr>
            </w:pPr>
            <w:r>
              <w:rPr>
                <w:rFonts w:eastAsia="Times New Roman" w:cs="Arial"/>
                <w:b/>
              </w:rPr>
              <w:t>213</w:t>
            </w:r>
          </w:p>
        </w:tc>
      </w:tr>
    </w:tbl>
    <w:p w:rsidR="00AE0272" w:rsidRDefault="00AE0272" w:rsidP="00AE0272">
      <w:pPr>
        <w:pStyle w:val="NoSpacing"/>
      </w:pPr>
      <w:r>
        <w:t>Source: EMSI</w:t>
      </w:r>
      <w:r w:rsidR="0096110A">
        <w:t xml:space="preserve"> Class of Worker 2016.4</w:t>
      </w:r>
    </w:p>
    <w:p w:rsidR="00AE4FFB" w:rsidRDefault="00AE4FFB" w:rsidP="00AE4FFB">
      <w:pPr>
        <w:pStyle w:val="Quote"/>
      </w:pPr>
    </w:p>
    <w:p w:rsidR="00AE0272" w:rsidRPr="00196916" w:rsidRDefault="00AE0272" w:rsidP="00AE0272">
      <w:pPr>
        <w:pStyle w:val="Heading1"/>
        <w:rPr>
          <w:rFonts w:ascii="Tw Cen MT" w:eastAsia="Times New Roman" w:hAnsi="Tw Cen MT"/>
        </w:rPr>
      </w:pPr>
      <w:r w:rsidRPr="00196916">
        <w:rPr>
          <w:rFonts w:ascii="Tw Cen MT" w:eastAsia="Times New Roman" w:hAnsi="Tw Cen MT"/>
        </w:rPr>
        <w:t>Earnings</w:t>
      </w:r>
    </w:p>
    <w:p w:rsidR="007D2896" w:rsidRPr="001B660B" w:rsidRDefault="00AE0272" w:rsidP="001B660B">
      <w:pPr>
        <w:rPr>
          <w:rFonts w:eastAsia="Times New Roman"/>
          <w:color w:val="FF0000"/>
          <w:bdr w:val="none" w:sz="0" w:space="0" w:color="auto" w:frame="1"/>
          <w:shd w:val="clear" w:color="auto" w:fill="FFFFFF"/>
        </w:rPr>
      </w:pPr>
      <w:r w:rsidRPr="001B660B">
        <w:t>The entry level wage</w:t>
      </w:r>
      <w:r w:rsidR="00900D0D" w:rsidRPr="001B660B">
        <w:t>s</w:t>
      </w:r>
      <w:r w:rsidRPr="001B660B">
        <w:t xml:space="preserve"> for </w:t>
      </w:r>
      <w:r w:rsidR="00900D0D" w:rsidRPr="001B660B">
        <w:rPr>
          <w:rFonts w:eastAsia="Times New Roman"/>
          <w:bdr w:val="none" w:sz="0" w:space="0" w:color="auto" w:frame="1"/>
          <w:shd w:val="clear" w:color="auto" w:fill="FFFFFF"/>
        </w:rPr>
        <w:t xml:space="preserve">both </w:t>
      </w:r>
      <w:r w:rsidR="001B660B" w:rsidRPr="001B660B">
        <w:rPr>
          <w:rFonts w:eastAsia="Times New Roman"/>
          <w:bdr w:val="none" w:sz="0" w:space="0" w:color="auto" w:frame="1"/>
          <w:shd w:val="clear" w:color="auto" w:fill="FFFFFF"/>
        </w:rPr>
        <w:t>occupations</w:t>
      </w:r>
      <w:r w:rsidR="00900D0D" w:rsidRPr="001B660B">
        <w:rPr>
          <w:rFonts w:eastAsia="Times New Roman"/>
          <w:bdr w:val="none" w:sz="0" w:space="0" w:color="auto" w:frame="1"/>
          <w:shd w:val="clear" w:color="auto" w:fill="FFFFFF"/>
        </w:rPr>
        <w:t xml:space="preserve"> in this cluster are above the </w:t>
      </w:r>
      <w:r w:rsidR="005D1920" w:rsidRPr="001B660B">
        <w:t xml:space="preserve">MIT living wage of $11.75 per hour in the </w:t>
      </w:r>
      <w:r w:rsidR="001B660B">
        <w:t>local</w:t>
      </w:r>
      <w:r w:rsidR="005D1920" w:rsidRPr="001B660B">
        <w:t xml:space="preserve"> region</w:t>
      </w:r>
      <w:r w:rsidR="0040211B" w:rsidRPr="001B660B">
        <w:t xml:space="preserve">. </w:t>
      </w:r>
      <w:r w:rsidR="00FC0DD4" w:rsidRPr="001B660B">
        <w:rPr>
          <w:bdr w:val="none" w:sz="0" w:space="0" w:color="auto" w:frame="1"/>
          <w:shd w:val="clear" w:color="auto" w:fill="FFFFFF"/>
        </w:rPr>
        <w:t>Bur</w:t>
      </w:r>
      <w:r w:rsidR="00BB3B33" w:rsidRPr="001B660B">
        <w:rPr>
          <w:bdr w:val="none" w:sz="0" w:space="0" w:color="auto" w:frame="1"/>
          <w:shd w:val="clear" w:color="auto" w:fill="FFFFFF"/>
        </w:rPr>
        <w:t xml:space="preserve">ning Glass results revealed a mean annual salary of </w:t>
      </w:r>
      <w:r w:rsidR="00900D0D" w:rsidRPr="001B660B">
        <w:rPr>
          <w:bdr w:val="none" w:sz="0" w:space="0" w:color="auto" w:frame="1"/>
          <w:shd w:val="clear" w:color="auto" w:fill="FFFFFF"/>
        </w:rPr>
        <w:t>$</w:t>
      </w:r>
      <w:r w:rsidR="00900D0D">
        <w:rPr>
          <w:bdr w:val="none" w:sz="0" w:space="0" w:color="auto" w:frame="1"/>
          <w:shd w:val="clear" w:color="auto" w:fill="FFFFFF"/>
        </w:rPr>
        <w:t>103,925 for construction managers</w:t>
      </w:r>
      <w:r w:rsidR="001B660B">
        <w:rPr>
          <w:bdr w:val="none" w:sz="0" w:space="0" w:color="auto" w:frame="1"/>
          <w:shd w:val="clear" w:color="auto" w:fill="FFFFFF"/>
        </w:rPr>
        <w:t xml:space="preserve"> (only 17 percent of job postings included salary information for this occupation) and $75,135 for </w:t>
      </w:r>
      <w:r w:rsidR="001B660B">
        <w:rPr>
          <w:rFonts w:eastAsia="Times New Roman" w:cs="Arial"/>
        </w:rPr>
        <w:t xml:space="preserve">first-line supervisors of construction trades and extraction workers (only 22 percent </w:t>
      </w:r>
      <w:r w:rsidR="001B660B">
        <w:rPr>
          <w:bdr w:val="none" w:sz="0" w:space="0" w:color="auto" w:frame="1"/>
          <w:shd w:val="clear" w:color="auto" w:fill="FFFFFF"/>
        </w:rPr>
        <w:t xml:space="preserve">of job postings included salary information). </w:t>
      </w:r>
    </w:p>
    <w:p w:rsidR="00B06663" w:rsidRDefault="00B06663" w:rsidP="008D3B85">
      <w:pPr>
        <w:pStyle w:val="Quote"/>
      </w:pPr>
      <w:r w:rsidRPr="00040AFD">
        <w:t xml:space="preserve">Exhibit 2: Earnings for </w:t>
      </w:r>
      <w:r w:rsidR="003D526D">
        <w:t xml:space="preserve">the </w:t>
      </w:r>
      <w:r w:rsidR="003D526D">
        <w:rPr>
          <w:rFonts w:eastAsia="Times New Roman"/>
          <w:bdr w:val="none" w:sz="0" w:space="0" w:color="auto" w:frame="1"/>
          <w:shd w:val="clear" w:color="auto" w:fill="FFFFFF"/>
        </w:rPr>
        <w:t xml:space="preserve">construction </w:t>
      </w:r>
      <w:r w:rsidR="00F6255E">
        <w:rPr>
          <w:rFonts w:eastAsia="Times New Roman"/>
          <w:bdr w:val="none" w:sz="0" w:space="0" w:color="auto" w:frame="1"/>
          <w:shd w:val="clear" w:color="auto" w:fill="FFFFFF"/>
        </w:rPr>
        <w:t>technology</w:t>
      </w:r>
      <w:r w:rsidR="00F6255E" w:rsidRPr="00900D0D">
        <w:rPr>
          <w:rFonts w:eastAsia="Times New Roman"/>
          <w:bdr w:val="none" w:sz="0" w:space="0" w:color="auto" w:frame="1"/>
          <w:shd w:val="clear" w:color="auto" w:fill="FFFFFF"/>
        </w:rPr>
        <w:t xml:space="preserve"> </w:t>
      </w:r>
      <w:r w:rsidR="003D526D">
        <w:rPr>
          <w:rFonts w:eastAsia="Times New Roman"/>
          <w:bdr w:val="none" w:sz="0" w:space="0" w:color="auto" w:frame="1"/>
          <w:shd w:val="clear" w:color="auto" w:fill="FFFFFF"/>
        </w:rPr>
        <w:t>occupation cluster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9"/>
        <w:gridCol w:w="1535"/>
        <w:gridCol w:w="1534"/>
        <w:gridCol w:w="1534"/>
        <w:gridCol w:w="1534"/>
      </w:tblGrid>
      <w:tr w:rsidR="005D1920" w:rsidRPr="007E0C3B" w:rsidTr="00A67E38">
        <w:trPr>
          <w:trHeight w:val="796"/>
        </w:trPr>
        <w:tc>
          <w:tcPr>
            <w:tcW w:w="1795" w:type="pct"/>
            <w:shd w:val="clear" w:color="000000" w:fill="204354"/>
            <w:vAlign w:val="center"/>
            <w:hideMark/>
          </w:tcPr>
          <w:p w:rsidR="005D1920" w:rsidRPr="007E0C3B" w:rsidRDefault="00A67E38" w:rsidP="007E0C3B">
            <w:pPr>
              <w:spacing w:after="0" w:line="240" w:lineRule="auto"/>
              <w:rPr>
                <w:rFonts w:eastAsia="Times New Roman" w:cs="Arial"/>
                <w:color w:val="FFFFFF"/>
              </w:rPr>
            </w:pPr>
            <w:r>
              <w:rPr>
                <w:rFonts w:eastAsia="Times New Roman" w:cs="Arial"/>
                <w:color w:val="FFFFFF"/>
              </w:rPr>
              <w:t>Occupation</w:t>
            </w:r>
            <w:r w:rsidR="003D526D">
              <w:rPr>
                <w:rFonts w:eastAsia="Times New Roman" w:cs="Arial"/>
                <w:color w:val="FFFFFF"/>
              </w:rPr>
              <w:t xml:space="preserve"> (SOC)</w:t>
            </w:r>
          </w:p>
        </w:tc>
        <w:tc>
          <w:tcPr>
            <w:tcW w:w="801" w:type="pct"/>
            <w:shd w:val="clear" w:color="000000" w:fill="204354"/>
            <w:vAlign w:val="center"/>
            <w:hideMark/>
          </w:tcPr>
          <w:p w:rsidR="005D1920" w:rsidRPr="007E0C3B" w:rsidRDefault="005D1920" w:rsidP="007E0C3B">
            <w:pPr>
              <w:spacing w:after="0" w:line="240" w:lineRule="auto"/>
              <w:jc w:val="center"/>
              <w:rPr>
                <w:rFonts w:eastAsia="Times New Roman" w:cs="Arial"/>
                <w:color w:val="FFFFFF"/>
              </w:rPr>
            </w:pPr>
            <w:r w:rsidRPr="007E0C3B">
              <w:rPr>
                <w:rFonts w:eastAsia="Times New Roman" w:cs="Arial"/>
                <w:color w:val="FFFFFF"/>
              </w:rPr>
              <w:t>Entry Hourly Earnings</w:t>
            </w:r>
          </w:p>
        </w:tc>
        <w:tc>
          <w:tcPr>
            <w:tcW w:w="801" w:type="pct"/>
            <w:shd w:val="clear" w:color="000000" w:fill="204354"/>
            <w:vAlign w:val="center"/>
            <w:hideMark/>
          </w:tcPr>
          <w:p w:rsidR="005D1920" w:rsidRPr="007E0C3B" w:rsidRDefault="005D1920" w:rsidP="007E0C3B">
            <w:pPr>
              <w:spacing w:after="0" w:line="240" w:lineRule="auto"/>
              <w:jc w:val="center"/>
              <w:rPr>
                <w:rFonts w:eastAsia="Times New Roman" w:cs="Arial"/>
                <w:color w:val="FFFFFF"/>
              </w:rPr>
            </w:pPr>
            <w:r w:rsidRPr="007E0C3B">
              <w:rPr>
                <w:rFonts w:eastAsia="Times New Roman" w:cs="Arial"/>
                <w:color w:val="FFFFFF"/>
              </w:rPr>
              <w:t>Median Hourly Earnings</w:t>
            </w:r>
          </w:p>
        </w:tc>
        <w:tc>
          <w:tcPr>
            <w:tcW w:w="801" w:type="pct"/>
            <w:shd w:val="clear" w:color="000000" w:fill="204354"/>
            <w:vAlign w:val="center"/>
            <w:hideMark/>
          </w:tcPr>
          <w:p w:rsidR="005D1920" w:rsidRPr="007E0C3B" w:rsidRDefault="005D1920" w:rsidP="007E0C3B">
            <w:pPr>
              <w:spacing w:after="0" w:line="240" w:lineRule="auto"/>
              <w:jc w:val="center"/>
              <w:rPr>
                <w:rFonts w:eastAsia="Times New Roman" w:cs="Arial"/>
                <w:color w:val="FFFFFF"/>
              </w:rPr>
            </w:pPr>
            <w:r w:rsidRPr="007E0C3B">
              <w:rPr>
                <w:rFonts w:eastAsia="Times New Roman" w:cs="Arial"/>
                <w:color w:val="FFFFFF"/>
              </w:rPr>
              <w:t>Experienced Hourly Earnings</w:t>
            </w:r>
          </w:p>
        </w:tc>
        <w:tc>
          <w:tcPr>
            <w:tcW w:w="801" w:type="pct"/>
            <w:shd w:val="clear" w:color="000000" w:fill="204354"/>
            <w:vAlign w:val="center"/>
            <w:hideMark/>
          </w:tcPr>
          <w:p w:rsidR="005D1920" w:rsidRPr="007E0C3B" w:rsidRDefault="005D1920" w:rsidP="007E0C3B">
            <w:pPr>
              <w:spacing w:after="0" w:line="240" w:lineRule="auto"/>
              <w:jc w:val="center"/>
              <w:rPr>
                <w:rFonts w:eastAsia="Times New Roman" w:cs="Arial"/>
                <w:color w:val="FFFFFF"/>
              </w:rPr>
            </w:pPr>
            <w:r w:rsidRPr="007E0C3B">
              <w:rPr>
                <w:rFonts w:eastAsia="Times New Roman" w:cs="Arial"/>
                <w:color w:val="FFFFFF"/>
              </w:rPr>
              <w:t xml:space="preserve">Annual </w:t>
            </w:r>
            <w:r>
              <w:rPr>
                <w:rFonts w:eastAsia="Times New Roman" w:cs="Arial"/>
                <w:color w:val="FFFFFF"/>
              </w:rPr>
              <w:t xml:space="preserve">Average </w:t>
            </w:r>
            <w:r w:rsidRPr="007E0C3B">
              <w:rPr>
                <w:rFonts w:eastAsia="Times New Roman" w:cs="Arial"/>
                <w:color w:val="FFFFFF"/>
              </w:rPr>
              <w:t>Earnings</w:t>
            </w:r>
          </w:p>
        </w:tc>
      </w:tr>
      <w:tr w:rsidR="00A67E38" w:rsidRPr="007E0C3B" w:rsidTr="00A67E38">
        <w:trPr>
          <w:trHeight w:val="796"/>
        </w:trPr>
        <w:tc>
          <w:tcPr>
            <w:tcW w:w="1795" w:type="pct"/>
            <w:shd w:val="clear" w:color="auto" w:fill="auto"/>
            <w:noWrap/>
            <w:vAlign w:val="center"/>
            <w:hideMark/>
          </w:tcPr>
          <w:p w:rsidR="00A67E38" w:rsidRPr="007E0C3B" w:rsidRDefault="00A67E38" w:rsidP="00E277F4">
            <w:pPr>
              <w:spacing w:after="0" w:line="240" w:lineRule="auto"/>
              <w:rPr>
                <w:rFonts w:eastAsia="Times New Roman" w:cs="Arial"/>
              </w:rPr>
            </w:pPr>
            <w:r>
              <w:rPr>
                <w:rFonts w:eastAsia="Times New Roman" w:cs="Arial"/>
              </w:rPr>
              <w:t>Construction Managers (11</w:t>
            </w:r>
            <w:r>
              <w:rPr>
                <w:rFonts w:eastAsia="Times New Roman" w:cs="Arial"/>
              </w:rPr>
              <w:noBreakHyphen/>
              <w:t>9021)</w:t>
            </w:r>
          </w:p>
        </w:tc>
        <w:tc>
          <w:tcPr>
            <w:tcW w:w="801" w:type="pct"/>
            <w:shd w:val="clear" w:color="auto" w:fill="auto"/>
            <w:noWrap/>
            <w:vAlign w:val="center"/>
            <w:hideMark/>
          </w:tcPr>
          <w:p w:rsidR="00A67E38" w:rsidRPr="008100EC" w:rsidRDefault="00A67E38" w:rsidP="008100EC">
            <w:pPr>
              <w:spacing w:after="0" w:line="240" w:lineRule="auto"/>
              <w:jc w:val="center"/>
              <w:rPr>
                <w:rFonts w:eastAsia="Times New Roman" w:cs="Arial"/>
              </w:rPr>
            </w:pPr>
            <w:r>
              <w:rPr>
                <w:rFonts w:eastAsia="Times New Roman" w:cs="Arial"/>
              </w:rPr>
              <w:t>$20.11</w:t>
            </w:r>
          </w:p>
        </w:tc>
        <w:tc>
          <w:tcPr>
            <w:tcW w:w="801" w:type="pct"/>
            <w:shd w:val="clear" w:color="auto" w:fill="auto"/>
            <w:noWrap/>
            <w:vAlign w:val="center"/>
            <w:hideMark/>
          </w:tcPr>
          <w:p w:rsidR="00A67E38" w:rsidRPr="008100EC" w:rsidRDefault="00A67E38" w:rsidP="008100EC">
            <w:pPr>
              <w:spacing w:after="0" w:line="240" w:lineRule="auto"/>
              <w:jc w:val="center"/>
              <w:rPr>
                <w:rFonts w:eastAsia="Times New Roman" w:cs="Arial"/>
              </w:rPr>
            </w:pPr>
            <w:r>
              <w:rPr>
                <w:rFonts w:eastAsia="Times New Roman" w:cs="Arial"/>
              </w:rPr>
              <w:t>$30.00</w:t>
            </w:r>
          </w:p>
        </w:tc>
        <w:tc>
          <w:tcPr>
            <w:tcW w:w="801" w:type="pct"/>
            <w:shd w:val="clear" w:color="auto" w:fill="auto"/>
            <w:noWrap/>
            <w:vAlign w:val="center"/>
            <w:hideMark/>
          </w:tcPr>
          <w:p w:rsidR="00A67E38" w:rsidRPr="008100EC" w:rsidRDefault="00A67E38" w:rsidP="008100EC">
            <w:pPr>
              <w:spacing w:after="0" w:line="240" w:lineRule="auto"/>
              <w:jc w:val="center"/>
              <w:rPr>
                <w:rFonts w:eastAsia="Times New Roman" w:cs="Arial"/>
              </w:rPr>
            </w:pPr>
            <w:r>
              <w:rPr>
                <w:rFonts w:eastAsia="Times New Roman" w:cs="Arial"/>
              </w:rPr>
              <w:t>$56.55</w:t>
            </w:r>
          </w:p>
        </w:tc>
        <w:tc>
          <w:tcPr>
            <w:tcW w:w="801" w:type="pct"/>
            <w:shd w:val="clear" w:color="auto" w:fill="auto"/>
            <w:noWrap/>
            <w:vAlign w:val="center"/>
            <w:hideMark/>
          </w:tcPr>
          <w:p w:rsidR="00A67E38" w:rsidRPr="007E0C3B" w:rsidRDefault="00A67E38" w:rsidP="008100EC">
            <w:pPr>
              <w:spacing w:after="0" w:line="240" w:lineRule="auto"/>
              <w:jc w:val="center"/>
              <w:rPr>
                <w:rFonts w:eastAsia="Times New Roman" w:cs="Arial"/>
              </w:rPr>
            </w:pPr>
            <w:r>
              <w:rPr>
                <w:rFonts w:eastAsia="Times New Roman" w:cs="Arial"/>
              </w:rPr>
              <w:t>$71,677</w:t>
            </w:r>
          </w:p>
        </w:tc>
      </w:tr>
      <w:tr w:rsidR="00A67E38" w:rsidRPr="007E0C3B" w:rsidTr="00A67E38">
        <w:trPr>
          <w:trHeight w:val="796"/>
        </w:trPr>
        <w:tc>
          <w:tcPr>
            <w:tcW w:w="1795" w:type="pct"/>
            <w:shd w:val="clear" w:color="auto" w:fill="auto"/>
            <w:noWrap/>
            <w:vAlign w:val="center"/>
          </w:tcPr>
          <w:p w:rsidR="00A67E38" w:rsidRPr="007E0C3B" w:rsidRDefault="00A67E38" w:rsidP="00E277F4">
            <w:pPr>
              <w:spacing w:after="0" w:line="240" w:lineRule="auto"/>
              <w:rPr>
                <w:rFonts w:eastAsia="Times New Roman" w:cs="Arial"/>
              </w:rPr>
            </w:pPr>
            <w:r>
              <w:rPr>
                <w:rFonts w:eastAsia="Times New Roman" w:cs="Arial"/>
              </w:rPr>
              <w:t>First-Line Supervisors of Construction Trades and Extraction Workers (47-1011)</w:t>
            </w:r>
          </w:p>
        </w:tc>
        <w:tc>
          <w:tcPr>
            <w:tcW w:w="801" w:type="pct"/>
            <w:shd w:val="clear" w:color="auto" w:fill="auto"/>
            <w:noWrap/>
            <w:vAlign w:val="center"/>
          </w:tcPr>
          <w:p w:rsidR="00A67E38" w:rsidRPr="008100EC" w:rsidRDefault="00A67E38" w:rsidP="008100EC">
            <w:pPr>
              <w:spacing w:after="0" w:line="240" w:lineRule="auto"/>
              <w:jc w:val="center"/>
              <w:rPr>
                <w:rFonts w:eastAsia="Times New Roman" w:cs="Arial"/>
              </w:rPr>
            </w:pPr>
            <w:r>
              <w:rPr>
                <w:rFonts w:eastAsia="Times New Roman" w:cs="Arial"/>
              </w:rPr>
              <w:t>$18.78</w:t>
            </w:r>
          </w:p>
        </w:tc>
        <w:tc>
          <w:tcPr>
            <w:tcW w:w="801" w:type="pct"/>
            <w:shd w:val="clear" w:color="auto" w:fill="auto"/>
            <w:noWrap/>
            <w:vAlign w:val="center"/>
          </w:tcPr>
          <w:p w:rsidR="00A67E38" w:rsidRPr="008100EC" w:rsidRDefault="00A67E38" w:rsidP="008100EC">
            <w:pPr>
              <w:spacing w:after="0" w:line="240" w:lineRule="auto"/>
              <w:jc w:val="center"/>
              <w:rPr>
                <w:rFonts w:eastAsia="Times New Roman" w:cs="Arial"/>
              </w:rPr>
            </w:pPr>
            <w:r>
              <w:rPr>
                <w:rFonts w:eastAsia="Times New Roman" w:cs="Arial"/>
              </w:rPr>
              <w:t>$27.27</w:t>
            </w:r>
          </w:p>
        </w:tc>
        <w:tc>
          <w:tcPr>
            <w:tcW w:w="801" w:type="pct"/>
            <w:shd w:val="clear" w:color="auto" w:fill="auto"/>
            <w:noWrap/>
            <w:vAlign w:val="center"/>
          </w:tcPr>
          <w:p w:rsidR="00A67E38" w:rsidRPr="008100EC" w:rsidRDefault="00A67E38" w:rsidP="008100EC">
            <w:pPr>
              <w:spacing w:after="0" w:line="240" w:lineRule="auto"/>
              <w:jc w:val="center"/>
              <w:rPr>
                <w:rFonts w:eastAsia="Times New Roman" w:cs="Arial"/>
              </w:rPr>
            </w:pPr>
            <w:r>
              <w:rPr>
                <w:rFonts w:eastAsia="Times New Roman" w:cs="Arial"/>
              </w:rPr>
              <w:t>$40.11</w:t>
            </w:r>
          </w:p>
        </w:tc>
        <w:tc>
          <w:tcPr>
            <w:tcW w:w="801" w:type="pct"/>
            <w:shd w:val="clear" w:color="auto" w:fill="auto"/>
            <w:noWrap/>
            <w:vAlign w:val="center"/>
          </w:tcPr>
          <w:p w:rsidR="00A67E38" w:rsidRPr="007E0C3B" w:rsidRDefault="00A67E38" w:rsidP="008100EC">
            <w:pPr>
              <w:spacing w:after="0" w:line="240" w:lineRule="auto"/>
              <w:jc w:val="center"/>
              <w:rPr>
                <w:rFonts w:eastAsia="Times New Roman" w:cs="Arial"/>
              </w:rPr>
            </w:pPr>
            <w:r>
              <w:rPr>
                <w:rFonts w:eastAsia="Times New Roman" w:cs="Arial"/>
              </w:rPr>
              <w:t>$59,405</w:t>
            </w:r>
          </w:p>
        </w:tc>
      </w:tr>
      <w:tr w:rsidR="00A67E38" w:rsidRPr="007E0C3B" w:rsidTr="00A67E38">
        <w:trPr>
          <w:trHeight w:val="796"/>
        </w:trPr>
        <w:tc>
          <w:tcPr>
            <w:tcW w:w="1795" w:type="pct"/>
            <w:shd w:val="clear" w:color="auto" w:fill="auto"/>
            <w:noWrap/>
            <w:vAlign w:val="center"/>
          </w:tcPr>
          <w:p w:rsidR="00A67E38" w:rsidRPr="0096110A" w:rsidRDefault="00A67E38" w:rsidP="00E277F4">
            <w:pPr>
              <w:spacing w:after="0" w:line="240" w:lineRule="auto"/>
              <w:rPr>
                <w:rFonts w:eastAsia="Times New Roman" w:cs="Arial"/>
                <w:b/>
              </w:rPr>
            </w:pPr>
            <w:r w:rsidRPr="0096110A">
              <w:rPr>
                <w:rFonts w:eastAsia="Times New Roman" w:cs="Arial"/>
                <w:b/>
              </w:rPr>
              <w:t>TOTAL</w:t>
            </w:r>
          </w:p>
        </w:tc>
        <w:tc>
          <w:tcPr>
            <w:tcW w:w="801" w:type="pct"/>
            <w:shd w:val="clear" w:color="auto" w:fill="auto"/>
            <w:noWrap/>
            <w:vAlign w:val="center"/>
          </w:tcPr>
          <w:p w:rsidR="00A67E38" w:rsidRPr="008100EC" w:rsidRDefault="00A67E38" w:rsidP="008100EC">
            <w:pPr>
              <w:spacing w:after="0" w:line="240" w:lineRule="auto"/>
              <w:jc w:val="center"/>
              <w:rPr>
                <w:rFonts w:eastAsia="Times New Roman" w:cs="Arial"/>
              </w:rPr>
            </w:pPr>
            <w:r>
              <w:rPr>
                <w:rFonts w:eastAsia="Times New Roman" w:cs="Arial"/>
              </w:rPr>
              <w:t>$19.33</w:t>
            </w:r>
          </w:p>
        </w:tc>
        <w:tc>
          <w:tcPr>
            <w:tcW w:w="801" w:type="pct"/>
            <w:shd w:val="clear" w:color="auto" w:fill="auto"/>
            <w:noWrap/>
            <w:vAlign w:val="center"/>
          </w:tcPr>
          <w:p w:rsidR="00A67E38" w:rsidRPr="008100EC" w:rsidRDefault="00A67E38" w:rsidP="008100EC">
            <w:pPr>
              <w:spacing w:after="0" w:line="240" w:lineRule="auto"/>
              <w:jc w:val="center"/>
              <w:rPr>
                <w:rFonts w:eastAsia="Times New Roman" w:cs="Arial"/>
              </w:rPr>
            </w:pPr>
            <w:r>
              <w:rPr>
                <w:rFonts w:eastAsia="Times New Roman" w:cs="Arial"/>
              </w:rPr>
              <w:t>$28.39</w:t>
            </w:r>
          </w:p>
        </w:tc>
        <w:tc>
          <w:tcPr>
            <w:tcW w:w="801" w:type="pct"/>
            <w:shd w:val="clear" w:color="auto" w:fill="auto"/>
            <w:noWrap/>
            <w:vAlign w:val="center"/>
          </w:tcPr>
          <w:p w:rsidR="00A67E38" w:rsidRPr="008100EC" w:rsidRDefault="00A67E38" w:rsidP="008100EC">
            <w:pPr>
              <w:spacing w:after="0" w:line="240" w:lineRule="auto"/>
              <w:jc w:val="center"/>
              <w:rPr>
                <w:rFonts w:eastAsia="Times New Roman" w:cs="Arial"/>
              </w:rPr>
            </w:pPr>
            <w:r>
              <w:rPr>
                <w:rFonts w:eastAsia="Times New Roman" w:cs="Arial"/>
              </w:rPr>
              <w:t>$46.86</w:t>
            </w:r>
          </w:p>
        </w:tc>
        <w:tc>
          <w:tcPr>
            <w:tcW w:w="801" w:type="pct"/>
            <w:shd w:val="clear" w:color="auto" w:fill="auto"/>
            <w:noWrap/>
            <w:vAlign w:val="center"/>
          </w:tcPr>
          <w:p w:rsidR="00A67E38" w:rsidRPr="007E0C3B" w:rsidRDefault="00A67E38" w:rsidP="008100EC">
            <w:pPr>
              <w:spacing w:after="0" w:line="240" w:lineRule="auto"/>
              <w:jc w:val="center"/>
              <w:rPr>
                <w:rFonts w:eastAsia="Times New Roman" w:cs="Arial"/>
              </w:rPr>
            </w:pPr>
            <w:r>
              <w:rPr>
                <w:rFonts w:eastAsia="Times New Roman" w:cs="Arial"/>
              </w:rPr>
              <w:t>$64,438</w:t>
            </w:r>
          </w:p>
        </w:tc>
      </w:tr>
    </w:tbl>
    <w:p w:rsidR="004F5B22" w:rsidRDefault="00955E2F" w:rsidP="004F5B22">
      <w:pPr>
        <w:pStyle w:val="NoSpacing"/>
      </w:pPr>
      <w:r>
        <w:t xml:space="preserve">Source: EMSI </w:t>
      </w:r>
      <w:r w:rsidRPr="005C0893">
        <w:t xml:space="preserve">Entry </w:t>
      </w:r>
      <w:r>
        <w:t>h</w:t>
      </w:r>
      <w:r w:rsidRPr="005C0893">
        <w:t>ourly</w:t>
      </w:r>
      <w:r>
        <w:t xml:space="preserve"> wage</w:t>
      </w:r>
      <w:r w:rsidRPr="005C0893">
        <w:t xml:space="preserve"> is 10th percentile, median </w:t>
      </w:r>
      <w:r>
        <w:t xml:space="preserve">wage </w:t>
      </w:r>
      <w:r w:rsidRPr="005C0893">
        <w:t xml:space="preserve">is 50th percentile, </w:t>
      </w:r>
      <w:r w:rsidR="0040211B">
        <w:t>experienced</w:t>
      </w:r>
      <w:r>
        <w:t xml:space="preserve"> hourly wage</w:t>
      </w:r>
      <w:r w:rsidRPr="005C0893">
        <w:t xml:space="preserve"> is 90th percentile.</w:t>
      </w:r>
    </w:p>
    <w:p w:rsidR="00AE0272" w:rsidRPr="00E244EF" w:rsidRDefault="00AE0272" w:rsidP="004F5B22">
      <w:pPr>
        <w:pStyle w:val="Heading1"/>
        <w:rPr>
          <w:rFonts w:ascii="Tw Cen MT" w:eastAsiaTheme="minorHAnsi" w:hAnsi="Tw Cen MT" w:cstheme="minorBidi"/>
          <w:sz w:val="24"/>
          <w:szCs w:val="24"/>
        </w:rPr>
      </w:pPr>
      <w:r w:rsidRPr="00E244EF">
        <w:rPr>
          <w:rFonts w:ascii="Tw Cen MT" w:hAnsi="Tw Cen MT"/>
        </w:rPr>
        <w:lastRenderedPageBreak/>
        <w:t xml:space="preserve">Education </w:t>
      </w:r>
    </w:p>
    <w:p w:rsidR="001B660B" w:rsidRPr="001B660B" w:rsidRDefault="00455775" w:rsidP="008D3B85">
      <w:pPr>
        <w:pStyle w:val="Quote"/>
        <w:rPr>
          <w:i w:val="0"/>
          <w:color w:val="auto"/>
          <w:bdr w:val="none" w:sz="0" w:space="0" w:color="auto" w:frame="1"/>
          <w:shd w:val="clear" w:color="auto" w:fill="FFFFFF"/>
        </w:rPr>
      </w:pPr>
      <w:r w:rsidRPr="001B660B">
        <w:rPr>
          <w:i w:val="0"/>
          <w:color w:val="auto"/>
          <w:bdr w:val="none" w:sz="0" w:space="0" w:color="auto" w:frame="1"/>
          <w:shd w:val="clear" w:color="auto" w:fill="FFFFFF"/>
        </w:rPr>
        <w:t xml:space="preserve">The typical entry level education for </w:t>
      </w:r>
      <w:r w:rsidR="001B660B" w:rsidRPr="001B660B">
        <w:rPr>
          <w:i w:val="0"/>
          <w:color w:val="auto"/>
          <w:bdr w:val="none" w:sz="0" w:space="0" w:color="auto" w:frame="1"/>
          <w:shd w:val="clear" w:color="auto" w:fill="FFFFFF"/>
        </w:rPr>
        <w:t>construction managers is a Bachelor’s degree</w:t>
      </w:r>
      <w:r w:rsidRPr="001B660B">
        <w:rPr>
          <w:i w:val="0"/>
          <w:color w:val="auto"/>
          <w:bdr w:val="none" w:sz="0" w:space="0" w:color="auto" w:frame="1"/>
          <w:shd w:val="clear" w:color="auto" w:fill="FFFFFF"/>
        </w:rPr>
        <w:t xml:space="preserve">. </w:t>
      </w:r>
      <w:r w:rsidR="001B660B" w:rsidRPr="001B660B">
        <w:rPr>
          <w:i w:val="0"/>
          <w:color w:val="auto"/>
          <w:bdr w:val="none" w:sz="0" w:space="0" w:color="auto" w:frame="1"/>
          <w:shd w:val="clear" w:color="auto" w:fill="FFFFFF"/>
        </w:rPr>
        <w:t>Nearly 80 percent of employers</w:t>
      </w:r>
      <w:r w:rsidR="00D7450C">
        <w:rPr>
          <w:i w:val="0"/>
          <w:color w:val="auto"/>
          <w:bdr w:val="none" w:sz="0" w:space="0" w:color="auto" w:frame="1"/>
          <w:shd w:val="clear" w:color="auto" w:fill="FFFFFF"/>
        </w:rPr>
        <w:t xml:space="preserve"> posting jobs for this </w:t>
      </w:r>
      <w:r w:rsidR="001B660B" w:rsidRPr="001B660B">
        <w:rPr>
          <w:i w:val="0"/>
          <w:color w:val="auto"/>
          <w:bdr w:val="none" w:sz="0" w:space="0" w:color="auto" w:frame="1"/>
          <w:shd w:val="clear" w:color="auto" w:fill="FFFFFF"/>
        </w:rPr>
        <w:t xml:space="preserve">occupation required a </w:t>
      </w:r>
      <w:r w:rsidR="001B660B">
        <w:rPr>
          <w:i w:val="0"/>
          <w:color w:val="auto"/>
          <w:bdr w:val="none" w:sz="0" w:space="0" w:color="auto" w:frame="1"/>
          <w:shd w:val="clear" w:color="auto" w:fill="FFFFFF"/>
        </w:rPr>
        <w:t>B</w:t>
      </w:r>
      <w:r w:rsidR="001B660B" w:rsidRPr="001B660B">
        <w:rPr>
          <w:i w:val="0"/>
          <w:color w:val="auto"/>
          <w:bdr w:val="none" w:sz="0" w:space="0" w:color="auto" w:frame="1"/>
          <w:shd w:val="clear" w:color="auto" w:fill="FFFFFF"/>
        </w:rPr>
        <w:t>achelor’s degree for employment</w:t>
      </w:r>
      <w:r w:rsidR="00D7450C">
        <w:rPr>
          <w:i w:val="0"/>
          <w:color w:val="auto"/>
          <w:bdr w:val="none" w:sz="0" w:space="0" w:color="auto" w:frame="1"/>
          <w:shd w:val="clear" w:color="auto" w:fill="FFFFFF"/>
        </w:rPr>
        <w:t xml:space="preserve"> in 2015</w:t>
      </w:r>
      <w:r w:rsidR="001B660B" w:rsidRPr="001B660B">
        <w:rPr>
          <w:i w:val="0"/>
          <w:color w:val="auto"/>
          <w:bdr w:val="none" w:sz="0" w:space="0" w:color="auto" w:frame="1"/>
          <w:shd w:val="clear" w:color="auto" w:fill="FFFFFF"/>
        </w:rPr>
        <w:t xml:space="preserve">. </w:t>
      </w:r>
    </w:p>
    <w:p w:rsidR="005668F8" w:rsidRPr="001B660B" w:rsidRDefault="001B660B" w:rsidP="008D3B85">
      <w:pPr>
        <w:pStyle w:val="Quote"/>
        <w:rPr>
          <w:i w:val="0"/>
        </w:rPr>
      </w:pPr>
      <w:r w:rsidRPr="001B660B">
        <w:rPr>
          <w:i w:val="0"/>
        </w:rPr>
        <w:t xml:space="preserve">The typical entry level education for </w:t>
      </w:r>
      <w:r w:rsidRPr="001B660B">
        <w:rPr>
          <w:rFonts w:eastAsia="Times New Roman" w:cs="Arial"/>
          <w:i w:val="0"/>
        </w:rPr>
        <w:t>first-line supervisors of construction trades and extraction workers is a high school diploma. Nearly 50 percent of employers looking for candidates in this occupation were required to have an education that could be obtained from a California Community College</w:t>
      </w:r>
      <w:r>
        <w:rPr>
          <w:rFonts w:eastAsia="Times New Roman" w:cs="Arial"/>
          <w:i w:val="0"/>
        </w:rPr>
        <w:t xml:space="preserve"> (vocational training or an Associate’s degree)</w:t>
      </w:r>
      <w:r w:rsidRPr="001B660B">
        <w:rPr>
          <w:rFonts w:eastAsia="Times New Roman" w:cs="Arial"/>
          <w:i w:val="0"/>
        </w:rPr>
        <w:t xml:space="preserve">. </w:t>
      </w:r>
    </w:p>
    <w:p w:rsidR="003D526D" w:rsidRPr="00FC5CA2" w:rsidRDefault="00AE0272" w:rsidP="003D526D">
      <w:pPr>
        <w:pStyle w:val="Quote"/>
      </w:pPr>
      <w:r w:rsidRPr="008D3B85">
        <w:t xml:space="preserve">Exhibit </w:t>
      </w:r>
      <w:r w:rsidR="00AE4FFB">
        <w:t>3</w:t>
      </w:r>
      <w:r w:rsidR="004661FD" w:rsidRPr="008D3B85">
        <w:t xml:space="preserve">: Educational Attainment for </w:t>
      </w:r>
      <w:r w:rsidR="003D526D">
        <w:t xml:space="preserve">the </w:t>
      </w:r>
      <w:r w:rsidR="003D526D">
        <w:rPr>
          <w:rFonts w:eastAsia="Times New Roman"/>
          <w:bdr w:val="none" w:sz="0" w:space="0" w:color="auto" w:frame="1"/>
          <w:shd w:val="clear" w:color="auto" w:fill="FFFFFF"/>
        </w:rPr>
        <w:t xml:space="preserve">construction </w:t>
      </w:r>
      <w:r w:rsidR="00F6255E">
        <w:rPr>
          <w:rFonts w:eastAsia="Times New Roman"/>
          <w:bdr w:val="none" w:sz="0" w:space="0" w:color="auto" w:frame="1"/>
          <w:shd w:val="clear" w:color="auto" w:fill="FFFFFF"/>
        </w:rPr>
        <w:t>technology</w:t>
      </w:r>
      <w:r w:rsidR="00F6255E" w:rsidRPr="00900D0D">
        <w:rPr>
          <w:rFonts w:eastAsia="Times New Roman"/>
          <w:bdr w:val="none" w:sz="0" w:space="0" w:color="auto" w:frame="1"/>
          <w:shd w:val="clear" w:color="auto" w:fill="FFFFFF"/>
        </w:rPr>
        <w:t xml:space="preserve"> </w:t>
      </w:r>
      <w:r w:rsidR="003D526D">
        <w:rPr>
          <w:rFonts w:eastAsia="Times New Roman"/>
          <w:bdr w:val="none" w:sz="0" w:space="0" w:color="auto" w:frame="1"/>
          <w:shd w:val="clear" w:color="auto" w:fill="FFFFFF"/>
        </w:rPr>
        <w:t>occupation cluster</w:t>
      </w:r>
    </w:p>
    <w:tbl>
      <w:tblPr>
        <w:tblStyle w:val="LightList-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471"/>
        <w:gridCol w:w="1574"/>
        <w:gridCol w:w="1569"/>
        <w:gridCol w:w="1634"/>
        <w:gridCol w:w="1557"/>
      </w:tblGrid>
      <w:tr w:rsidR="006111D1" w:rsidTr="006111D1">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925" w:type="pct"/>
            <w:vMerge w:val="restart"/>
            <w:vAlign w:val="center"/>
          </w:tcPr>
          <w:p w:rsidR="006111D1" w:rsidRPr="007E0C3B" w:rsidRDefault="006111D1" w:rsidP="003D526D">
            <w:pPr>
              <w:rPr>
                <w:rFonts w:eastAsia="Times New Roman" w:cs="Arial"/>
                <w:color w:val="FFFFFF"/>
              </w:rPr>
            </w:pPr>
            <w:r>
              <w:rPr>
                <w:rFonts w:eastAsia="Times New Roman" w:cs="Arial"/>
                <w:color w:val="FFFFFF"/>
              </w:rPr>
              <w:t>Occupation (SOC)</w:t>
            </w:r>
          </w:p>
        </w:tc>
        <w:tc>
          <w:tcPr>
            <w:tcW w:w="768" w:type="pct"/>
            <w:vMerge w:val="restart"/>
            <w:vAlign w:val="center"/>
          </w:tcPr>
          <w:p w:rsidR="006111D1" w:rsidRPr="003D526D" w:rsidRDefault="00D40560" w:rsidP="003D526D">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rPr>
            </w:pPr>
            <w:hyperlink r:id="rId7" w:history="1">
              <w:r w:rsidR="006111D1" w:rsidRPr="003D526D">
                <w:rPr>
                  <w:rFonts w:eastAsia="Times New Roman" w:cs="Arial"/>
                  <w:color w:val="FFFFFF"/>
                </w:rPr>
                <w:t>Typical Entry Level Education</w:t>
              </w:r>
            </w:hyperlink>
          </w:p>
        </w:tc>
        <w:tc>
          <w:tcPr>
            <w:tcW w:w="822" w:type="pct"/>
            <w:vMerge w:val="restart"/>
            <w:tcBorders>
              <w:right w:val="single" w:sz="18" w:space="0" w:color="auto"/>
            </w:tcBorders>
            <w:vAlign w:val="center"/>
          </w:tcPr>
          <w:p w:rsidR="006111D1" w:rsidRPr="003D526D" w:rsidRDefault="00D40560" w:rsidP="003D526D">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rPr>
            </w:pPr>
            <w:hyperlink r:id="rId8" w:history="1">
              <w:r w:rsidR="006111D1" w:rsidRPr="003D526D">
                <w:rPr>
                  <w:rFonts w:eastAsia="Times New Roman" w:cs="Arial"/>
                  <w:color w:val="FFFFFF"/>
                </w:rPr>
                <w:t>Work Experience Required</w:t>
              </w:r>
            </w:hyperlink>
          </w:p>
        </w:tc>
        <w:tc>
          <w:tcPr>
            <w:tcW w:w="2485" w:type="pct"/>
            <w:gridSpan w:val="3"/>
            <w:tcBorders>
              <w:left w:val="single" w:sz="18" w:space="0" w:color="auto"/>
            </w:tcBorders>
            <w:vAlign w:val="center"/>
          </w:tcPr>
          <w:p w:rsidR="006111D1" w:rsidRPr="00CB0DAC" w:rsidRDefault="006111D1" w:rsidP="00EF351D">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CB0DAC">
              <w:t>Minim</w:t>
            </w:r>
            <w:r>
              <w:t>um Advertised Education Requirement</w:t>
            </w:r>
            <w:r w:rsidRPr="00CB0DAC">
              <w:t xml:space="preserve"> in Online </w:t>
            </w:r>
            <w:r>
              <w:t>J</w:t>
            </w:r>
            <w:r w:rsidRPr="00CB0DAC">
              <w:t xml:space="preserve">ob </w:t>
            </w:r>
            <w:r>
              <w:t>P</w:t>
            </w:r>
            <w:r w:rsidRPr="00CB0DAC">
              <w:t>ostings</w:t>
            </w:r>
          </w:p>
        </w:tc>
      </w:tr>
      <w:tr w:rsidR="006111D1" w:rsidTr="006111D1">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925" w:type="pct"/>
            <w:vMerge/>
            <w:tcBorders>
              <w:top w:val="none" w:sz="0" w:space="0" w:color="auto"/>
              <w:left w:val="none" w:sz="0" w:space="0" w:color="auto"/>
              <w:bottom w:val="none" w:sz="0" w:space="0" w:color="auto"/>
            </w:tcBorders>
            <w:vAlign w:val="center"/>
          </w:tcPr>
          <w:p w:rsidR="006111D1" w:rsidRDefault="006111D1" w:rsidP="003D526D">
            <w:pPr>
              <w:rPr>
                <w:rFonts w:eastAsia="Times New Roman" w:cs="Arial"/>
                <w:color w:val="FFFFFF"/>
              </w:rPr>
            </w:pPr>
          </w:p>
        </w:tc>
        <w:tc>
          <w:tcPr>
            <w:tcW w:w="768" w:type="pct"/>
            <w:vMerge/>
            <w:tcBorders>
              <w:top w:val="none" w:sz="0" w:space="0" w:color="auto"/>
              <w:bottom w:val="none" w:sz="0" w:space="0" w:color="auto"/>
            </w:tcBorders>
            <w:vAlign w:val="center"/>
          </w:tcPr>
          <w:p w:rsidR="006111D1" w:rsidRPr="003D526D" w:rsidRDefault="006111D1" w:rsidP="003D526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FFFFFF"/>
              </w:rPr>
            </w:pPr>
          </w:p>
        </w:tc>
        <w:tc>
          <w:tcPr>
            <w:tcW w:w="822" w:type="pct"/>
            <w:vMerge/>
            <w:tcBorders>
              <w:top w:val="none" w:sz="0" w:space="0" w:color="auto"/>
              <w:bottom w:val="none" w:sz="0" w:space="0" w:color="auto"/>
              <w:right w:val="single" w:sz="18" w:space="0" w:color="auto"/>
            </w:tcBorders>
            <w:vAlign w:val="center"/>
          </w:tcPr>
          <w:p w:rsidR="006111D1" w:rsidRPr="003D526D" w:rsidRDefault="006111D1" w:rsidP="003D526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FFFFFF"/>
              </w:rPr>
            </w:pPr>
          </w:p>
        </w:tc>
        <w:tc>
          <w:tcPr>
            <w:tcW w:w="819" w:type="pct"/>
            <w:tcBorders>
              <w:top w:val="none" w:sz="0" w:space="0" w:color="auto"/>
              <w:left w:val="single" w:sz="18" w:space="0" w:color="auto"/>
              <w:bottom w:val="none" w:sz="0" w:space="0" w:color="auto"/>
            </w:tcBorders>
            <w:shd w:val="clear" w:color="auto" w:fill="6076B4" w:themeFill="accent1"/>
            <w:vAlign w:val="center"/>
          </w:tcPr>
          <w:p w:rsidR="006111D1" w:rsidRDefault="006111D1" w:rsidP="00CB0DAC">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Pr>
                <w:b/>
                <w:bCs/>
                <w:color w:val="FFFFFF" w:themeColor="background1"/>
              </w:rPr>
              <w:t>High School or Vocational Training</w:t>
            </w:r>
          </w:p>
        </w:tc>
        <w:tc>
          <w:tcPr>
            <w:tcW w:w="853" w:type="pct"/>
            <w:tcBorders>
              <w:top w:val="none" w:sz="0" w:space="0" w:color="auto"/>
              <w:bottom w:val="none" w:sz="0" w:space="0" w:color="auto"/>
            </w:tcBorders>
            <w:shd w:val="clear" w:color="auto" w:fill="6076B4" w:themeFill="accent1"/>
            <w:vAlign w:val="center"/>
          </w:tcPr>
          <w:p w:rsidR="006111D1" w:rsidRPr="00CB0DAC" w:rsidRDefault="006111D1" w:rsidP="00CB0DAC">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B0DAC">
              <w:rPr>
                <w:b/>
                <w:bCs/>
                <w:color w:val="FFFFFF" w:themeColor="background1"/>
              </w:rPr>
              <w:t>Associate’s degree</w:t>
            </w:r>
          </w:p>
        </w:tc>
        <w:tc>
          <w:tcPr>
            <w:tcW w:w="812" w:type="pct"/>
            <w:tcBorders>
              <w:top w:val="none" w:sz="0" w:space="0" w:color="auto"/>
              <w:bottom w:val="none" w:sz="0" w:space="0" w:color="auto"/>
              <w:right w:val="none" w:sz="0" w:space="0" w:color="auto"/>
            </w:tcBorders>
            <w:shd w:val="clear" w:color="auto" w:fill="6076B4" w:themeFill="accent1"/>
            <w:vAlign w:val="center"/>
          </w:tcPr>
          <w:p w:rsidR="006111D1" w:rsidRPr="00CB0DAC" w:rsidRDefault="006111D1" w:rsidP="00CB0DAC">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B0DAC">
              <w:rPr>
                <w:b/>
                <w:bCs/>
                <w:color w:val="FFFFFF" w:themeColor="background1"/>
              </w:rPr>
              <w:t>Bachelor’s degree</w:t>
            </w:r>
            <w:r>
              <w:rPr>
                <w:b/>
                <w:bCs/>
                <w:color w:val="FFFFFF" w:themeColor="background1"/>
              </w:rPr>
              <w:t xml:space="preserve"> or higher</w:t>
            </w:r>
          </w:p>
        </w:tc>
      </w:tr>
      <w:tr w:rsidR="006111D1" w:rsidTr="006111D1">
        <w:trPr>
          <w:trHeight w:val="1303"/>
        </w:trPr>
        <w:tc>
          <w:tcPr>
            <w:cnfStyle w:val="001000000000" w:firstRow="0" w:lastRow="0" w:firstColumn="1" w:lastColumn="0" w:oddVBand="0" w:evenVBand="0" w:oddHBand="0" w:evenHBand="0" w:firstRowFirstColumn="0" w:firstRowLastColumn="0" w:lastRowFirstColumn="0" w:lastRowLastColumn="0"/>
            <w:tcW w:w="925" w:type="pct"/>
            <w:vAlign w:val="center"/>
          </w:tcPr>
          <w:p w:rsidR="006111D1" w:rsidRPr="007E0C3B" w:rsidRDefault="006111D1" w:rsidP="003D526D">
            <w:pPr>
              <w:rPr>
                <w:rFonts w:eastAsia="Times New Roman" w:cs="Arial"/>
              </w:rPr>
            </w:pPr>
            <w:r>
              <w:rPr>
                <w:rFonts w:eastAsia="Times New Roman" w:cs="Arial"/>
              </w:rPr>
              <w:t>Construction Managers (11</w:t>
            </w:r>
            <w:r>
              <w:rPr>
                <w:rFonts w:eastAsia="Times New Roman" w:cs="Arial"/>
              </w:rPr>
              <w:noBreakHyphen/>
              <w:t>9021)</w:t>
            </w:r>
          </w:p>
        </w:tc>
        <w:tc>
          <w:tcPr>
            <w:tcW w:w="768" w:type="pct"/>
            <w:vAlign w:val="center"/>
          </w:tcPr>
          <w:p w:rsidR="006111D1" w:rsidRDefault="006111D1" w:rsidP="003D526D">
            <w:pPr>
              <w:spacing w:line="360" w:lineRule="auto"/>
              <w:jc w:val="center"/>
              <w:cnfStyle w:val="000000000000" w:firstRow="0" w:lastRow="0" w:firstColumn="0" w:lastColumn="0" w:oddVBand="0" w:evenVBand="0" w:oddHBand="0" w:evenHBand="0" w:firstRowFirstColumn="0" w:firstRowLastColumn="0" w:lastRowFirstColumn="0" w:lastRowLastColumn="0"/>
            </w:pPr>
            <w:r>
              <w:t>Bachelor’s degree</w:t>
            </w:r>
          </w:p>
        </w:tc>
        <w:tc>
          <w:tcPr>
            <w:tcW w:w="822" w:type="pct"/>
            <w:tcBorders>
              <w:right w:val="single" w:sz="18" w:space="0" w:color="auto"/>
            </w:tcBorders>
            <w:vAlign w:val="center"/>
          </w:tcPr>
          <w:p w:rsidR="006111D1" w:rsidRDefault="006111D1" w:rsidP="003D526D">
            <w:pPr>
              <w:spacing w:line="360" w:lineRule="auto"/>
              <w:jc w:val="center"/>
              <w:cnfStyle w:val="000000000000" w:firstRow="0" w:lastRow="0" w:firstColumn="0" w:lastColumn="0" w:oddVBand="0" w:evenVBand="0" w:oddHBand="0" w:evenHBand="0" w:firstRowFirstColumn="0" w:firstRowLastColumn="0" w:lastRowFirstColumn="0" w:lastRowLastColumn="0"/>
            </w:pPr>
            <w:r>
              <w:t>None</w:t>
            </w:r>
          </w:p>
        </w:tc>
        <w:tc>
          <w:tcPr>
            <w:tcW w:w="819" w:type="pct"/>
            <w:tcBorders>
              <w:left w:val="single" w:sz="18" w:space="0" w:color="auto"/>
            </w:tcBorders>
            <w:vAlign w:val="center"/>
          </w:tcPr>
          <w:p w:rsidR="006111D1" w:rsidRDefault="006111D1" w:rsidP="00CB0DAC">
            <w:pPr>
              <w:spacing w:line="360" w:lineRule="auto"/>
              <w:jc w:val="center"/>
              <w:cnfStyle w:val="000000000000" w:firstRow="0" w:lastRow="0" w:firstColumn="0" w:lastColumn="0" w:oddVBand="0" w:evenVBand="0" w:oddHBand="0" w:evenHBand="0" w:firstRowFirstColumn="0" w:firstRowLastColumn="0" w:lastRowFirstColumn="0" w:lastRowLastColumn="0"/>
            </w:pPr>
            <w:r>
              <w:t>18%</w:t>
            </w:r>
          </w:p>
        </w:tc>
        <w:tc>
          <w:tcPr>
            <w:tcW w:w="853" w:type="pct"/>
            <w:vAlign w:val="center"/>
          </w:tcPr>
          <w:p w:rsidR="006111D1" w:rsidRDefault="006111D1" w:rsidP="00CB0DAC">
            <w:pPr>
              <w:spacing w:line="360" w:lineRule="auto"/>
              <w:jc w:val="center"/>
              <w:cnfStyle w:val="000000000000" w:firstRow="0" w:lastRow="0" w:firstColumn="0" w:lastColumn="0" w:oddVBand="0" w:evenVBand="0" w:oddHBand="0" w:evenHBand="0" w:firstRowFirstColumn="0" w:firstRowLastColumn="0" w:lastRowFirstColumn="0" w:lastRowLastColumn="0"/>
            </w:pPr>
            <w:r>
              <w:t>5%</w:t>
            </w:r>
          </w:p>
        </w:tc>
        <w:tc>
          <w:tcPr>
            <w:tcW w:w="812" w:type="pct"/>
            <w:vAlign w:val="center"/>
          </w:tcPr>
          <w:p w:rsidR="006111D1" w:rsidRDefault="006111D1" w:rsidP="00CB0DAC">
            <w:pPr>
              <w:spacing w:line="360" w:lineRule="auto"/>
              <w:jc w:val="center"/>
              <w:cnfStyle w:val="000000000000" w:firstRow="0" w:lastRow="0" w:firstColumn="0" w:lastColumn="0" w:oddVBand="0" w:evenVBand="0" w:oddHBand="0" w:evenHBand="0" w:firstRowFirstColumn="0" w:firstRowLastColumn="0" w:lastRowFirstColumn="0" w:lastRowLastColumn="0"/>
            </w:pPr>
            <w:r>
              <w:t>77%</w:t>
            </w:r>
          </w:p>
        </w:tc>
      </w:tr>
      <w:tr w:rsidR="006111D1" w:rsidTr="0061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pct"/>
            <w:tcBorders>
              <w:top w:val="none" w:sz="0" w:space="0" w:color="auto"/>
              <w:left w:val="none" w:sz="0" w:space="0" w:color="auto"/>
              <w:bottom w:val="none" w:sz="0" w:space="0" w:color="auto"/>
            </w:tcBorders>
            <w:vAlign w:val="center"/>
          </w:tcPr>
          <w:p w:rsidR="006111D1" w:rsidRPr="007E0C3B" w:rsidRDefault="006111D1" w:rsidP="003D526D">
            <w:pPr>
              <w:rPr>
                <w:rFonts w:eastAsia="Times New Roman" w:cs="Arial"/>
              </w:rPr>
            </w:pPr>
            <w:r>
              <w:rPr>
                <w:rFonts w:eastAsia="Times New Roman" w:cs="Arial"/>
              </w:rPr>
              <w:t>First-Line Supervisors of Construction Trades and Extraction Workers (47</w:t>
            </w:r>
            <w:r>
              <w:rPr>
                <w:rFonts w:eastAsia="Times New Roman" w:cs="Arial"/>
              </w:rPr>
              <w:noBreakHyphen/>
              <w:t>1011)</w:t>
            </w:r>
          </w:p>
        </w:tc>
        <w:tc>
          <w:tcPr>
            <w:tcW w:w="768" w:type="pct"/>
            <w:tcBorders>
              <w:top w:val="none" w:sz="0" w:space="0" w:color="auto"/>
              <w:bottom w:val="none" w:sz="0" w:space="0" w:color="auto"/>
            </w:tcBorders>
            <w:vAlign w:val="center"/>
          </w:tcPr>
          <w:p w:rsidR="006111D1" w:rsidRDefault="006111D1" w:rsidP="003D526D">
            <w:pPr>
              <w:spacing w:line="360" w:lineRule="auto"/>
              <w:jc w:val="center"/>
              <w:cnfStyle w:val="000000100000" w:firstRow="0" w:lastRow="0" w:firstColumn="0" w:lastColumn="0" w:oddVBand="0" w:evenVBand="0" w:oddHBand="1" w:evenHBand="0" w:firstRowFirstColumn="0" w:firstRowLastColumn="0" w:lastRowFirstColumn="0" w:lastRowLastColumn="0"/>
            </w:pPr>
            <w:r>
              <w:t>High school diploma or equivalent</w:t>
            </w:r>
          </w:p>
        </w:tc>
        <w:tc>
          <w:tcPr>
            <w:tcW w:w="822" w:type="pct"/>
            <w:tcBorders>
              <w:top w:val="none" w:sz="0" w:space="0" w:color="auto"/>
              <w:bottom w:val="none" w:sz="0" w:space="0" w:color="auto"/>
              <w:right w:val="single" w:sz="18" w:space="0" w:color="auto"/>
            </w:tcBorders>
            <w:vAlign w:val="center"/>
          </w:tcPr>
          <w:p w:rsidR="006111D1" w:rsidRDefault="006111D1" w:rsidP="003D526D">
            <w:pPr>
              <w:spacing w:line="360" w:lineRule="auto"/>
              <w:jc w:val="center"/>
              <w:cnfStyle w:val="000000100000" w:firstRow="0" w:lastRow="0" w:firstColumn="0" w:lastColumn="0" w:oddVBand="0" w:evenVBand="0" w:oddHBand="1" w:evenHBand="0" w:firstRowFirstColumn="0" w:firstRowLastColumn="0" w:lastRowFirstColumn="0" w:lastRowLastColumn="0"/>
            </w:pPr>
            <w:r>
              <w:t>5 years or more</w:t>
            </w:r>
          </w:p>
        </w:tc>
        <w:tc>
          <w:tcPr>
            <w:tcW w:w="819" w:type="pct"/>
            <w:tcBorders>
              <w:top w:val="none" w:sz="0" w:space="0" w:color="auto"/>
              <w:left w:val="single" w:sz="18" w:space="0" w:color="auto"/>
              <w:bottom w:val="none" w:sz="0" w:space="0" w:color="auto"/>
            </w:tcBorders>
            <w:vAlign w:val="center"/>
          </w:tcPr>
          <w:p w:rsidR="006111D1" w:rsidRDefault="006111D1" w:rsidP="00CB0DAC">
            <w:pPr>
              <w:spacing w:line="360" w:lineRule="auto"/>
              <w:jc w:val="center"/>
              <w:cnfStyle w:val="000000100000" w:firstRow="0" w:lastRow="0" w:firstColumn="0" w:lastColumn="0" w:oddVBand="0" w:evenVBand="0" w:oddHBand="1" w:evenHBand="0" w:firstRowFirstColumn="0" w:firstRowLastColumn="0" w:lastRowFirstColumn="0" w:lastRowLastColumn="0"/>
            </w:pPr>
            <w:r>
              <w:t>38%</w:t>
            </w:r>
          </w:p>
        </w:tc>
        <w:tc>
          <w:tcPr>
            <w:tcW w:w="853" w:type="pct"/>
            <w:tcBorders>
              <w:top w:val="none" w:sz="0" w:space="0" w:color="auto"/>
              <w:bottom w:val="none" w:sz="0" w:space="0" w:color="auto"/>
            </w:tcBorders>
            <w:vAlign w:val="center"/>
          </w:tcPr>
          <w:p w:rsidR="006111D1" w:rsidRDefault="006111D1" w:rsidP="00CB0DAC">
            <w:pPr>
              <w:spacing w:line="360" w:lineRule="auto"/>
              <w:jc w:val="center"/>
              <w:cnfStyle w:val="000000100000" w:firstRow="0" w:lastRow="0" w:firstColumn="0" w:lastColumn="0" w:oddVBand="0" w:evenVBand="0" w:oddHBand="1" w:evenHBand="0" w:firstRowFirstColumn="0" w:firstRowLastColumn="0" w:lastRowFirstColumn="0" w:lastRowLastColumn="0"/>
            </w:pPr>
            <w:r>
              <w:t>10%</w:t>
            </w:r>
          </w:p>
        </w:tc>
        <w:tc>
          <w:tcPr>
            <w:tcW w:w="812" w:type="pct"/>
            <w:tcBorders>
              <w:top w:val="none" w:sz="0" w:space="0" w:color="auto"/>
              <w:bottom w:val="none" w:sz="0" w:space="0" w:color="auto"/>
              <w:right w:val="none" w:sz="0" w:space="0" w:color="auto"/>
            </w:tcBorders>
            <w:vAlign w:val="center"/>
          </w:tcPr>
          <w:p w:rsidR="006111D1" w:rsidRDefault="006111D1" w:rsidP="00CB0DAC">
            <w:pPr>
              <w:spacing w:line="360" w:lineRule="auto"/>
              <w:jc w:val="center"/>
              <w:cnfStyle w:val="000000100000" w:firstRow="0" w:lastRow="0" w:firstColumn="0" w:lastColumn="0" w:oddVBand="0" w:evenVBand="0" w:oddHBand="1" w:evenHBand="0" w:firstRowFirstColumn="0" w:firstRowLastColumn="0" w:lastRowFirstColumn="0" w:lastRowLastColumn="0"/>
            </w:pPr>
            <w:r>
              <w:t>53%</w:t>
            </w:r>
          </w:p>
        </w:tc>
      </w:tr>
    </w:tbl>
    <w:p w:rsidR="00AE0272" w:rsidRDefault="00AE0272" w:rsidP="00A90355">
      <w:pPr>
        <w:spacing w:line="360" w:lineRule="auto"/>
      </w:pPr>
      <w:r w:rsidRPr="00FC5CA2">
        <w:t>Source: BLS</w:t>
      </w:r>
    </w:p>
    <w:p w:rsidR="00AE4FFB" w:rsidRDefault="00AE4FFB" w:rsidP="00AE4FFB">
      <w:pPr>
        <w:pStyle w:val="Heading1"/>
      </w:pPr>
      <w:r>
        <w:t>Certifications</w:t>
      </w:r>
    </w:p>
    <w:p w:rsidR="00CB0DAC" w:rsidRDefault="00CB0DAC" w:rsidP="002156BC">
      <w:r>
        <w:t>The top certifications requested by employers looking for construction managers from job posting websites in 2015 were: project management certification (E.G. PMP), certified construction manager, professional engineer, first aid CPR AED, contractor’s license, and North American Board of Energy Practitioners (NABCEP).</w:t>
      </w:r>
    </w:p>
    <w:p w:rsidR="002156BC" w:rsidRDefault="00CB0DAC" w:rsidP="002156BC">
      <w:r>
        <w:t>The top certifications requested for first-line supervisors of construction trades and extraction workers was: electrician certification, commercial driver’s license, forklift operator certification, and welding certification (E.G. AWS Certified Welder)</w:t>
      </w:r>
      <w:r w:rsidR="00D7450C">
        <w:t>.</w:t>
      </w:r>
    </w:p>
    <w:p w:rsidR="003609C1" w:rsidRPr="00D7450C" w:rsidRDefault="003609C1" w:rsidP="002156BC">
      <w:pPr>
        <w:pStyle w:val="Heading1"/>
      </w:pPr>
      <w:r w:rsidRPr="00D7450C">
        <w:t>Employer Names and Worksite Locations</w:t>
      </w:r>
    </w:p>
    <w:p w:rsidR="003609C1" w:rsidRPr="00D7450C" w:rsidRDefault="007418E1" w:rsidP="003609C1">
      <w:pPr>
        <w:pStyle w:val="Quote"/>
        <w:rPr>
          <w:i w:val="0"/>
        </w:rPr>
      </w:pPr>
      <w:r w:rsidRPr="00D7450C">
        <w:rPr>
          <w:i w:val="0"/>
        </w:rPr>
        <w:t xml:space="preserve">According to online job posting in 2015 the top employers looking for construction managers and </w:t>
      </w:r>
      <w:r w:rsidR="00D7450C" w:rsidRPr="00D7450C">
        <w:rPr>
          <w:i w:val="0"/>
        </w:rPr>
        <w:t>f</w:t>
      </w:r>
      <w:r w:rsidRPr="00D7450C">
        <w:rPr>
          <w:i w:val="0"/>
        </w:rPr>
        <w:t xml:space="preserve">irst-line supervisors of construction trades and extraction workers were: Homeadvisor (17 job postings), Schlumbeger (8), Meritage Homes Construction (8), D.R. Horton (6), Engeryplacement (5), Mastec Incorporated (5), Ryan Contractors (5), the Kleinfelder Group, Inc. (5), and Timberwolff Construction Incorporated (5). </w:t>
      </w:r>
    </w:p>
    <w:p w:rsidR="007418E1" w:rsidRDefault="007418E1" w:rsidP="007418E1">
      <w:r w:rsidRPr="00D7450C">
        <w:t>The top worksite locations in 2015 were: Riverside (131 job postings), Corona (62), Rancho Cucamonga (49), San Bernardino (48), Ontario (40), Fontana</w:t>
      </w:r>
      <w:r>
        <w:t xml:space="preserve"> (30), and Chino (26).</w:t>
      </w:r>
    </w:p>
    <w:p w:rsidR="00583636" w:rsidRDefault="00583636" w:rsidP="007418E1"/>
    <w:p w:rsidR="00583636" w:rsidRPr="00D7450C" w:rsidRDefault="00583636" w:rsidP="00583636">
      <w:pPr>
        <w:pStyle w:val="Heading1"/>
        <w:spacing w:before="120"/>
        <w:rPr>
          <w:szCs w:val="26"/>
        </w:rPr>
      </w:pPr>
      <w:r w:rsidRPr="00D7450C">
        <w:rPr>
          <w:szCs w:val="26"/>
        </w:rPr>
        <w:t>Student Completions</w:t>
      </w:r>
      <w:r>
        <w:rPr>
          <w:szCs w:val="26"/>
        </w:rPr>
        <w:t xml:space="preserve"> and Training Gap</w:t>
      </w:r>
    </w:p>
    <w:p w:rsidR="00583636" w:rsidRPr="00391F5C" w:rsidRDefault="00583636" w:rsidP="00583636">
      <w:r w:rsidRPr="00391F5C">
        <w:t xml:space="preserve">Exhibit </w:t>
      </w:r>
      <w:r>
        <w:t>4</w:t>
      </w:r>
      <w:r w:rsidRPr="00391F5C">
        <w:t xml:space="preserve"> shows the projected 2015-2020 annual job openings for the occupation in Exhibit 1with an associated TOP6 programs. </w:t>
      </w:r>
      <w:r>
        <w:t>Exhibit 4</w:t>
      </w:r>
      <w:r w:rsidRPr="00391F5C">
        <w:t xml:space="preserve"> also shows the annual average regional community college awards</w:t>
      </w:r>
      <w:r>
        <w:t xml:space="preserve"> and </w:t>
      </w:r>
      <w:r w:rsidRPr="00AE0296">
        <w:t>the total annual average awards for education institutions outside the California Community Colleges system</w:t>
      </w:r>
      <w:r w:rsidRPr="00391F5C">
        <w:t>. Please note, an award is not equivalent to a single person in search of a job opening since students may earn more than one award, such as a degree in addition to a certificate.</w:t>
      </w:r>
      <w:r>
        <w:t xml:space="preserve"> Exhibit 5 shows the training gap of 158 jobs for the</w:t>
      </w:r>
      <w:r w:rsidRPr="001B660B">
        <w:t xml:space="preserve"> construction </w:t>
      </w:r>
      <w:r w:rsidR="00F6255E">
        <w:rPr>
          <w:rFonts w:eastAsia="Times New Roman"/>
          <w:bdr w:val="none" w:sz="0" w:space="0" w:color="auto" w:frame="1"/>
          <w:shd w:val="clear" w:color="auto" w:fill="FFFFFF"/>
        </w:rPr>
        <w:t>technology</w:t>
      </w:r>
      <w:r w:rsidR="00F6255E" w:rsidRPr="00900D0D">
        <w:rPr>
          <w:rFonts w:eastAsia="Times New Roman"/>
          <w:bdr w:val="none" w:sz="0" w:space="0" w:color="auto" w:frame="1"/>
          <w:shd w:val="clear" w:color="auto" w:fill="FFFFFF"/>
        </w:rPr>
        <w:t xml:space="preserve"> </w:t>
      </w:r>
      <w:r w:rsidRPr="001B660B">
        <w:t xml:space="preserve">occupation cluster </w:t>
      </w:r>
      <w:r>
        <w:t xml:space="preserve">in the local region. </w:t>
      </w:r>
    </w:p>
    <w:p w:rsidR="00583636" w:rsidRPr="00391F5C" w:rsidRDefault="00583636" w:rsidP="00583636">
      <w:pPr>
        <w:rPr>
          <w:i/>
          <w:iCs/>
          <w:color w:val="000000" w:themeColor="text1"/>
        </w:rPr>
      </w:pPr>
      <w:r w:rsidRPr="00391F5C">
        <w:rPr>
          <w:i/>
          <w:iCs/>
          <w:color w:val="000000" w:themeColor="text1"/>
        </w:rPr>
        <w:t xml:space="preserve">Exhibit </w:t>
      </w:r>
      <w:r>
        <w:rPr>
          <w:i/>
          <w:iCs/>
          <w:color w:val="000000" w:themeColor="text1"/>
        </w:rPr>
        <w:t>4</w:t>
      </w:r>
      <w:r w:rsidRPr="00391F5C">
        <w:rPr>
          <w:i/>
          <w:iCs/>
          <w:color w:val="000000" w:themeColor="text1"/>
        </w:rPr>
        <w:t>:</w:t>
      </w:r>
      <w:r>
        <w:rPr>
          <w:i/>
          <w:iCs/>
          <w:color w:val="000000" w:themeColor="text1"/>
        </w:rPr>
        <w:t xml:space="preserve"> Annual Job Openings and </w:t>
      </w:r>
      <w:r w:rsidRPr="00391F5C">
        <w:rPr>
          <w:i/>
          <w:iCs/>
          <w:color w:val="000000" w:themeColor="text1"/>
        </w:rPr>
        <w:t>Student Completions in Rive</w:t>
      </w:r>
      <w:r>
        <w:rPr>
          <w:i/>
          <w:iCs/>
          <w:color w:val="000000" w:themeColor="text1"/>
        </w:rPr>
        <w:t>rside-San Bernardino-Ontario MSA</w:t>
      </w:r>
    </w:p>
    <w:tbl>
      <w:tblPr>
        <w:tblW w:w="95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2244"/>
        <w:gridCol w:w="1674"/>
        <w:gridCol w:w="1440"/>
        <w:gridCol w:w="1584"/>
        <w:gridCol w:w="1584"/>
      </w:tblGrid>
      <w:tr w:rsidR="00583636" w:rsidRPr="00417C7D" w:rsidTr="001310AC">
        <w:trPr>
          <w:trHeight w:val="20"/>
        </w:trPr>
        <w:tc>
          <w:tcPr>
            <w:tcW w:w="1011" w:type="dxa"/>
            <w:shd w:val="clear" w:color="auto" w:fill="F0B47A" w:themeFill="accent3" w:themeFillTint="99"/>
            <w:noWrap/>
            <w:vAlign w:val="center"/>
            <w:hideMark/>
          </w:tcPr>
          <w:p w:rsidR="00583636" w:rsidRPr="00417C7D" w:rsidRDefault="00583636" w:rsidP="00225915">
            <w:pPr>
              <w:spacing w:after="0" w:line="240" w:lineRule="auto"/>
              <w:jc w:val="center"/>
              <w:rPr>
                <w:rFonts w:eastAsia="Times New Roman" w:cs="Times New Roman"/>
                <w:b/>
                <w:color w:val="000000"/>
                <w:sz w:val="22"/>
                <w:szCs w:val="22"/>
              </w:rPr>
            </w:pPr>
            <w:r w:rsidRPr="00417C7D">
              <w:rPr>
                <w:rFonts w:eastAsia="Times New Roman" w:cs="Times New Roman"/>
                <w:b/>
                <w:color w:val="000000"/>
                <w:sz w:val="22"/>
                <w:szCs w:val="22"/>
              </w:rPr>
              <w:t>TOP06</w:t>
            </w:r>
          </w:p>
        </w:tc>
        <w:tc>
          <w:tcPr>
            <w:tcW w:w="2244" w:type="dxa"/>
            <w:shd w:val="clear" w:color="auto" w:fill="F0B47A" w:themeFill="accent3" w:themeFillTint="99"/>
            <w:noWrap/>
            <w:vAlign w:val="center"/>
            <w:hideMark/>
          </w:tcPr>
          <w:p w:rsidR="00583636" w:rsidRPr="00417C7D" w:rsidRDefault="00583636" w:rsidP="00225915">
            <w:pPr>
              <w:spacing w:after="0" w:line="240" w:lineRule="auto"/>
              <w:jc w:val="center"/>
              <w:rPr>
                <w:rFonts w:eastAsia="Times New Roman" w:cs="Times New Roman"/>
                <w:b/>
                <w:color w:val="000000"/>
                <w:sz w:val="22"/>
                <w:szCs w:val="22"/>
              </w:rPr>
            </w:pPr>
            <w:r w:rsidRPr="00417C7D">
              <w:rPr>
                <w:rFonts w:eastAsia="Times New Roman" w:cs="Times New Roman"/>
                <w:b/>
                <w:color w:val="000000"/>
                <w:sz w:val="22"/>
                <w:szCs w:val="22"/>
              </w:rPr>
              <w:t>TOP06 Title</w:t>
            </w:r>
          </w:p>
        </w:tc>
        <w:tc>
          <w:tcPr>
            <w:tcW w:w="1674" w:type="dxa"/>
            <w:shd w:val="clear" w:color="auto" w:fill="F0B47A" w:themeFill="accent3" w:themeFillTint="99"/>
            <w:vAlign w:val="center"/>
          </w:tcPr>
          <w:p w:rsidR="00583636" w:rsidRPr="00417C7D" w:rsidRDefault="00583636" w:rsidP="00225915">
            <w:pPr>
              <w:spacing w:after="0" w:line="240" w:lineRule="auto"/>
              <w:jc w:val="center"/>
              <w:rPr>
                <w:rFonts w:eastAsia="Times New Roman" w:cs="Times New Roman"/>
                <w:b/>
                <w:color w:val="000000"/>
                <w:sz w:val="22"/>
                <w:szCs w:val="22"/>
              </w:rPr>
            </w:pPr>
            <w:r w:rsidRPr="00417C7D">
              <w:rPr>
                <w:rFonts w:eastAsia="Times New Roman" w:cs="Times New Roman"/>
                <w:b/>
                <w:color w:val="000000"/>
                <w:sz w:val="22"/>
                <w:szCs w:val="22"/>
              </w:rPr>
              <w:t>Total Annual Job Openings</w:t>
            </w:r>
            <w:r>
              <w:rPr>
                <w:rFonts w:eastAsia="Times New Roman" w:cs="Times New Roman"/>
                <w:b/>
                <w:color w:val="000000"/>
                <w:sz w:val="22"/>
                <w:szCs w:val="22"/>
              </w:rPr>
              <w:t xml:space="preserve"> from Exhibit 1</w:t>
            </w:r>
          </w:p>
        </w:tc>
        <w:tc>
          <w:tcPr>
            <w:tcW w:w="1440" w:type="dxa"/>
            <w:shd w:val="clear" w:color="auto" w:fill="F0B47A" w:themeFill="accent3" w:themeFillTint="99"/>
            <w:vAlign w:val="center"/>
            <w:hideMark/>
          </w:tcPr>
          <w:p w:rsidR="00583636" w:rsidRPr="00417C7D" w:rsidRDefault="00583636" w:rsidP="00225915">
            <w:pPr>
              <w:spacing w:after="0" w:line="240" w:lineRule="auto"/>
              <w:jc w:val="center"/>
              <w:rPr>
                <w:rFonts w:eastAsia="Times New Roman" w:cs="Times New Roman"/>
                <w:b/>
                <w:color w:val="000000"/>
                <w:sz w:val="22"/>
                <w:szCs w:val="22"/>
              </w:rPr>
            </w:pPr>
            <w:r w:rsidRPr="00417C7D">
              <w:rPr>
                <w:rFonts w:eastAsia="Times New Roman" w:cs="Times New Roman"/>
                <w:b/>
                <w:color w:val="000000"/>
                <w:sz w:val="22"/>
                <w:szCs w:val="22"/>
              </w:rPr>
              <w:t>Annual Avg Associate Degrees (2012-15)</w:t>
            </w:r>
          </w:p>
        </w:tc>
        <w:tc>
          <w:tcPr>
            <w:tcW w:w="1584" w:type="dxa"/>
            <w:shd w:val="clear" w:color="auto" w:fill="F0B47A" w:themeFill="accent3" w:themeFillTint="99"/>
            <w:vAlign w:val="center"/>
            <w:hideMark/>
          </w:tcPr>
          <w:p w:rsidR="00583636" w:rsidRPr="00417C7D" w:rsidRDefault="00583636" w:rsidP="00225915">
            <w:pPr>
              <w:spacing w:after="0" w:line="240" w:lineRule="auto"/>
              <w:jc w:val="center"/>
              <w:rPr>
                <w:rFonts w:eastAsia="Times New Roman" w:cs="Times New Roman"/>
                <w:b/>
                <w:color w:val="000000"/>
                <w:sz w:val="22"/>
                <w:szCs w:val="22"/>
              </w:rPr>
            </w:pPr>
            <w:r w:rsidRPr="00417C7D">
              <w:rPr>
                <w:rFonts w:eastAsia="Times New Roman" w:cs="Times New Roman"/>
                <w:b/>
                <w:color w:val="000000"/>
                <w:sz w:val="22"/>
                <w:szCs w:val="22"/>
              </w:rPr>
              <w:t>Annual Avg Certificates or Other Credit Awards (2012-15)</w:t>
            </w:r>
          </w:p>
        </w:tc>
        <w:tc>
          <w:tcPr>
            <w:tcW w:w="1584" w:type="dxa"/>
            <w:shd w:val="clear" w:color="auto" w:fill="F0B47A" w:themeFill="accent3" w:themeFillTint="99"/>
            <w:vAlign w:val="center"/>
          </w:tcPr>
          <w:p w:rsidR="00583636" w:rsidRPr="00417C7D" w:rsidRDefault="00583636" w:rsidP="00225915">
            <w:pPr>
              <w:spacing w:after="0" w:line="240" w:lineRule="auto"/>
              <w:jc w:val="center"/>
              <w:rPr>
                <w:rFonts w:eastAsia="Times New Roman" w:cs="Times New Roman"/>
                <w:b/>
                <w:color w:val="000000"/>
                <w:sz w:val="22"/>
                <w:szCs w:val="22"/>
              </w:rPr>
            </w:pPr>
            <w:r w:rsidRPr="00417C7D">
              <w:rPr>
                <w:rFonts w:eastAsia="Times New Roman" w:cs="Times New Roman"/>
                <w:b/>
                <w:color w:val="000000"/>
                <w:sz w:val="22"/>
                <w:szCs w:val="22"/>
              </w:rPr>
              <w:t>Total Other Ed. Annual Avg Awards (2012-15)</w:t>
            </w:r>
          </w:p>
        </w:tc>
      </w:tr>
      <w:tr w:rsidR="00583636" w:rsidRPr="00417C7D" w:rsidTr="001310AC">
        <w:trPr>
          <w:trHeight w:val="1026"/>
        </w:trPr>
        <w:tc>
          <w:tcPr>
            <w:tcW w:w="1011" w:type="dxa"/>
            <w:shd w:val="clear" w:color="auto" w:fill="auto"/>
            <w:noWrap/>
            <w:vAlign w:val="center"/>
          </w:tcPr>
          <w:p w:rsidR="00583636" w:rsidRDefault="00583636" w:rsidP="00225915">
            <w:pPr>
              <w:spacing w:after="0" w:line="240" w:lineRule="auto"/>
              <w:jc w:val="right"/>
              <w:rPr>
                <w:rFonts w:eastAsia="Times New Roman" w:cs="Times New Roman"/>
                <w:color w:val="000000"/>
                <w:sz w:val="22"/>
                <w:szCs w:val="22"/>
              </w:rPr>
            </w:pPr>
            <w:r>
              <w:rPr>
                <w:rFonts w:eastAsia="Times New Roman" w:cs="Times New Roman"/>
                <w:color w:val="000000"/>
                <w:sz w:val="22"/>
                <w:szCs w:val="22"/>
              </w:rPr>
              <w:t>095200</w:t>
            </w:r>
          </w:p>
        </w:tc>
        <w:tc>
          <w:tcPr>
            <w:tcW w:w="2244" w:type="dxa"/>
            <w:shd w:val="clear" w:color="auto" w:fill="auto"/>
            <w:vAlign w:val="center"/>
          </w:tcPr>
          <w:p w:rsidR="00583636" w:rsidRPr="00417C7D" w:rsidRDefault="00583636" w:rsidP="001310AC">
            <w:pPr>
              <w:jc w:val="center"/>
              <w:rPr>
                <w:color w:val="000000"/>
                <w:sz w:val="22"/>
                <w:szCs w:val="22"/>
              </w:rPr>
            </w:pPr>
            <w:r>
              <w:rPr>
                <w:color w:val="000000"/>
                <w:sz w:val="22"/>
                <w:szCs w:val="22"/>
              </w:rPr>
              <w:t>Construction Crafts Technology</w:t>
            </w:r>
          </w:p>
        </w:tc>
        <w:tc>
          <w:tcPr>
            <w:tcW w:w="1674" w:type="dxa"/>
            <w:vMerge w:val="restart"/>
            <w:vAlign w:val="center"/>
          </w:tcPr>
          <w:p w:rsidR="00583636" w:rsidRDefault="00583636" w:rsidP="00225915">
            <w:pPr>
              <w:spacing w:after="0" w:line="240" w:lineRule="auto"/>
              <w:jc w:val="center"/>
              <w:rPr>
                <w:rFonts w:eastAsia="Times New Roman" w:cs="Times New Roman"/>
                <w:color w:val="000000"/>
                <w:sz w:val="22"/>
                <w:szCs w:val="22"/>
              </w:rPr>
            </w:pPr>
            <w:r>
              <w:rPr>
                <w:rFonts w:eastAsia="Times New Roman" w:cs="Times New Roman"/>
                <w:color w:val="000000"/>
                <w:sz w:val="22"/>
                <w:szCs w:val="22"/>
              </w:rPr>
              <w:t>213</w:t>
            </w:r>
          </w:p>
        </w:tc>
        <w:tc>
          <w:tcPr>
            <w:tcW w:w="1440" w:type="dxa"/>
            <w:shd w:val="clear" w:color="auto" w:fill="auto"/>
            <w:noWrap/>
            <w:vAlign w:val="center"/>
          </w:tcPr>
          <w:p w:rsidR="00583636" w:rsidRDefault="00583636" w:rsidP="00225915">
            <w:pPr>
              <w:spacing w:after="0" w:line="240" w:lineRule="auto"/>
              <w:jc w:val="center"/>
              <w:rPr>
                <w:rFonts w:eastAsia="Times New Roman" w:cs="Times New Roman"/>
                <w:color w:val="000000"/>
                <w:sz w:val="22"/>
                <w:szCs w:val="22"/>
              </w:rPr>
            </w:pPr>
            <w:r>
              <w:rPr>
                <w:rFonts w:eastAsia="Times New Roman" w:cs="Times New Roman"/>
                <w:color w:val="000000"/>
                <w:sz w:val="22"/>
                <w:szCs w:val="22"/>
              </w:rPr>
              <w:t>4</w:t>
            </w:r>
          </w:p>
        </w:tc>
        <w:tc>
          <w:tcPr>
            <w:tcW w:w="1584" w:type="dxa"/>
            <w:shd w:val="clear" w:color="auto" w:fill="auto"/>
            <w:noWrap/>
            <w:vAlign w:val="center"/>
          </w:tcPr>
          <w:p w:rsidR="00583636" w:rsidRDefault="00583636" w:rsidP="00225915">
            <w:pPr>
              <w:spacing w:after="0" w:line="240" w:lineRule="auto"/>
              <w:jc w:val="center"/>
              <w:rPr>
                <w:rFonts w:eastAsia="Times New Roman" w:cs="Times New Roman"/>
                <w:color w:val="000000"/>
                <w:sz w:val="22"/>
                <w:szCs w:val="22"/>
              </w:rPr>
            </w:pPr>
            <w:r>
              <w:rPr>
                <w:rFonts w:eastAsia="Times New Roman" w:cs="Times New Roman"/>
                <w:color w:val="000000"/>
                <w:sz w:val="22"/>
                <w:szCs w:val="22"/>
              </w:rPr>
              <w:t>7</w:t>
            </w:r>
          </w:p>
        </w:tc>
        <w:tc>
          <w:tcPr>
            <w:tcW w:w="1584" w:type="dxa"/>
            <w:vAlign w:val="center"/>
          </w:tcPr>
          <w:p w:rsidR="00583636" w:rsidRDefault="00583636" w:rsidP="00225915">
            <w:pPr>
              <w:spacing w:after="0" w:line="240" w:lineRule="auto"/>
              <w:jc w:val="center"/>
              <w:rPr>
                <w:rFonts w:eastAsia="Times New Roman" w:cs="Times New Roman"/>
                <w:color w:val="000000"/>
                <w:sz w:val="22"/>
                <w:szCs w:val="22"/>
              </w:rPr>
            </w:pPr>
            <w:r>
              <w:rPr>
                <w:rFonts w:eastAsia="Times New Roman" w:cs="Times New Roman"/>
                <w:color w:val="000000"/>
                <w:sz w:val="22"/>
                <w:szCs w:val="22"/>
              </w:rPr>
              <w:t>-</w:t>
            </w:r>
          </w:p>
        </w:tc>
      </w:tr>
      <w:tr w:rsidR="00583636" w:rsidRPr="00417C7D" w:rsidTr="001310AC">
        <w:trPr>
          <w:trHeight w:val="1026"/>
        </w:trPr>
        <w:tc>
          <w:tcPr>
            <w:tcW w:w="1011" w:type="dxa"/>
            <w:shd w:val="clear" w:color="auto" w:fill="auto"/>
            <w:noWrap/>
            <w:vAlign w:val="center"/>
          </w:tcPr>
          <w:p w:rsidR="00583636" w:rsidRPr="00417C7D" w:rsidRDefault="00583636" w:rsidP="00225915">
            <w:pPr>
              <w:spacing w:after="0" w:line="240" w:lineRule="auto"/>
              <w:jc w:val="right"/>
              <w:rPr>
                <w:rFonts w:eastAsia="Times New Roman" w:cs="Times New Roman"/>
                <w:color w:val="000000"/>
                <w:sz w:val="22"/>
                <w:szCs w:val="22"/>
              </w:rPr>
            </w:pPr>
            <w:r>
              <w:rPr>
                <w:rFonts w:eastAsia="Times New Roman" w:cs="Times New Roman"/>
                <w:color w:val="000000"/>
                <w:sz w:val="22"/>
                <w:szCs w:val="22"/>
              </w:rPr>
              <w:t>0957</w:t>
            </w:r>
            <w:r w:rsidRPr="00417C7D">
              <w:rPr>
                <w:rFonts w:eastAsia="Times New Roman" w:cs="Times New Roman"/>
                <w:color w:val="000000"/>
                <w:sz w:val="22"/>
                <w:szCs w:val="22"/>
              </w:rPr>
              <w:t>00</w:t>
            </w:r>
          </w:p>
        </w:tc>
        <w:tc>
          <w:tcPr>
            <w:tcW w:w="2244" w:type="dxa"/>
            <w:shd w:val="clear" w:color="auto" w:fill="auto"/>
            <w:vAlign w:val="center"/>
          </w:tcPr>
          <w:p w:rsidR="00583636" w:rsidRPr="00417C7D" w:rsidRDefault="00583636" w:rsidP="001310AC">
            <w:pPr>
              <w:jc w:val="center"/>
              <w:rPr>
                <w:color w:val="000000"/>
                <w:sz w:val="22"/>
                <w:szCs w:val="22"/>
              </w:rPr>
            </w:pPr>
            <w:r w:rsidRPr="00417C7D">
              <w:rPr>
                <w:color w:val="000000"/>
                <w:sz w:val="22"/>
                <w:szCs w:val="22"/>
              </w:rPr>
              <w:t>Civil and Construction Management Technolog</w:t>
            </w:r>
            <w:r>
              <w:rPr>
                <w:color w:val="000000"/>
                <w:sz w:val="22"/>
                <w:szCs w:val="22"/>
              </w:rPr>
              <w:t>y</w:t>
            </w:r>
          </w:p>
        </w:tc>
        <w:tc>
          <w:tcPr>
            <w:tcW w:w="1674" w:type="dxa"/>
            <w:vMerge/>
            <w:vAlign w:val="center"/>
          </w:tcPr>
          <w:p w:rsidR="00583636" w:rsidRPr="00417C7D" w:rsidRDefault="00583636" w:rsidP="00225915">
            <w:pPr>
              <w:spacing w:after="0" w:line="240" w:lineRule="auto"/>
              <w:jc w:val="center"/>
              <w:rPr>
                <w:rFonts w:eastAsia="Times New Roman" w:cs="Times New Roman"/>
                <w:color w:val="000000"/>
                <w:sz w:val="22"/>
                <w:szCs w:val="22"/>
              </w:rPr>
            </w:pPr>
          </w:p>
        </w:tc>
        <w:tc>
          <w:tcPr>
            <w:tcW w:w="1440" w:type="dxa"/>
            <w:shd w:val="clear" w:color="auto" w:fill="auto"/>
            <w:noWrap/>
            <w:vAlign w:val="center"/>
          </w:tcPr>
          <w:p w:rsidR="00583636" w:rsidRPr="00417C7D" w:rsidRDefault="00583636" w:rsidP="00225915">
            <w:pPr>
              <w:spacing w:after="0" w:line="240" w:lineRule="auto"/>
              <w:jc w:val="center"/>
              <w:rPr>
                <w:rFonts w:eastAsia="Times New Roman" w:cs="Times New Roman"/>
                <w:color w:val="000000"/>
                <w:sz w:val="22"/>
                <w:szCs w:val="22"/>
              </w:rPr>
            </w:pPr>
            <w:r>
              <w:rPr>
                <w:rFonts w:eastAsia="Times New Roman" w:cs="Times New Roman"/>
                <w:color w:val="000000"/>
                <w:sz w:val="22"/>
                <w:szCs w:val="22"/>
              </w:rPr>
              <w:t>2</w:t>
            </w:r>
          </w:p>
        </w:tc>
        <w:tc>
          <w:tcPr>
            <w:tcW w:w="1584" w:type="dxa"/>
            <w:shd w:val="clear" w:color="auto" w:fill="auto"/>
            <w:noWrap/>
            <w:vAlign w:val="center"/>
          </w:tcPr>
          <w:p w:rsidR="00583636" w:rsidRPr="00417C7D" w:rsidRDefault="00583636" w:rsidP="00225915">
            <w:pPr>
              <w:spacing w:after="0" w:line="240" w:lineRule="auto"/>
              <w:jc w:val="center"/>
              <w:rPr>
                <w:rFonts w:eastAsia="Times New Roman" w:cs="Times New Roman"/>
                <w:color w:val="000000"/>
                <w:sz w:val="22"/>
                <w:szCs w:val="22"/>
              </w:rPr>
            </w:pPr>
            <w:r>
              <w:rPr>
                <w:rFonts w:eastAsia="Times New Roman" w:cs="Times New Roman"/>
                <w:color w:val="000000"/>
                <w:sz w:val="22"/>
                <w:szCs w:val="22"/>
              </w:rPr>
              <w:t>1</w:t>
            </w:r>
          </w:p>
        </w:tc>
        <w:tc>
          <w:tcPr>
            <w:tcW w:w="1584" w:type="dxa"/>
            <w:vAlign w:val="center"/>
          </w:tcPr>
          <w:p w:rsidR="00583636" w:rsidRPr="00417C7D" w:rsidRDefault="00583636" w:rsidP="00225915">
            <w:pPr>
              <w:spacing w:after="0" w:line="240" w:lineRule="auto"/>
              <w:jc w:val="center"/>
              <w:rPr>
                <w:rFonts w:eastAsia="Times New Roman" w:cs="Times New Roman"/>
                <w:color w:val="000000"/>
                <w:sz w:val="22"/>
                <w:szCs w:val="22"/>
              </w:rPr>
            </w:pPr>
            <w:r>
              <w:rPr>
                <w:rFonts w:eastAsia="Times New Roman" w:cs="Times New Roman"/>
                <w:color w:val="000000"/>
                <w:sz w:val="22"/>
                <w:szCs w:val="22"/>
              </w:rPr>
              <w:t>41</w:t>
            </w:r>
          </w:p>
        </w:tc>
      </w:tr>
      <w:tr w:rsidR="00583636" w:rsidRPr="00417C7D" w:rsidTr="001310AC">
        <w:trPr>
          <w:trHeight w:val="20"/>
        </w:trPr>
        <w:tc>
          <w:tcPr>
            <w:tcW w:w="3255" w:type="dxa"/>
            <w:gridSpan w:val="2"/>
            <w:shd w:val="clear" w:color="auto" w:fill="auto"/>
            <w:noWrap/>
            <w:vAlign w:val="center"/>
          </w:tcPr>
          <w:p w:rsidR="00583636" w:rsidRPr="00931CA8" w:rsidRDefault="001310AC" w:rsidP="001310AC">
            <w:pPr>
              <w:jc w:val="center"/>
              <w:rPr>
                <w:b/>
                <w:color w:val="000000"/>
                <w:sz w:val="22"/>
                <w:szCs w:val="22"/>
              </w:rPr>
            </w:pPr>
            <w:r>
              <w:rPr>
                <w:b/>
                <w:color w:val="000000"/>
                <w:sz w:val="22"/>
                <w:szCs w:val="22"/>
              </w:rPr>
              <w:t>TOTAL</w:t>
            </w:r>
          </w:p>
        </w:tc>
        <w:tc>
          <w:tcPr>
            <w:tcW w:w="1674" w:type="dxa"/>
            <w:vAlign w:val="center"/>
          </w:tcPr>
          <w:p w:rsidR="00583636" w:rsidRPr="00931CA8" w:rsidRDefault="00583636" w:rsidP="00225915">
            <w:pPr>
              <w:spacing w:after="0" w:line="240" w:lineRule="auto"/>
              <w:jc w:val="center"/>
              <w:rPr>
                <w:rFonts w:eastAsia="Times New Roman" w:cs="Times New Roman"/>
                <w:b/>
                <w:color w:val="000000"/>
                <w:sz w:val="22"/>
                <w:szCs w:val="22"/>
              </w:rPr>
            </w:pPr>
            <w:r w:rsidRPr="00931CA8">
              <w:rPr>
                <w:rFonts w:eastAsia="Times New Roman" w:cs="Times New Roman"/>
                <w:b/>
                <w:color w:val="000000"/>
                <w:sz w:val="22"/>
                <w:szCs w:val="22"/>
              </w:rPr>
              <w:t>213</w:t>
            </w:r>
          </w:p>
        </w:tc>
        <w:tc>
          <w:tcPr>
            <w:tcW w:w="4608" w:type="dxa"/>
            <w:gridSpan w:val="3"/>
            <w:shd w:val="clear" w:color="auto" w:fill="auto"/>
            <w:noWrap/>
            <w:vAlign w:val="center"/>
          </w:tcPr>
          <w:p w:rsidR="00583636" w:rsidRPr="00931CA8" w:rsidRDefault="00583636" w:rsidP="00225915">
            <w:pPr>
              <w:spacing w:after="0" w:line="240" w:lineRule="auto"/>
              <w:jc w:val="center"/>
              <w:rPr>
                <w:rFonts w:eastAsia="Times New Roman" w:cs="Times New Roman"/>
                <w:b/>
                <w:color w:val="000000"/>
                <w:sz w:val="22"/>
                <w:szCs w:val="22"/>
              </w:rPr>
            </w:pPr>
            <w:r>
              <w:rPr>
                <w:rFonts w:eastAsia="Times New Roman" w:cs="Times New Roman"/>
                <w:b/>
                <w:color w:val="000000"/>
                <w:sz w:val="22"/>
                <w:szCs w:val="22"/>
              </w:rPr>
              <w:t>55</w:t>
            </w:r>
          </w:p>
        </w:tc>
      </w:tr>
    </w:tbl>
    <w:p w:rsidR="00583636" w:rsidRPr="00D12DB7" w:rsidRDefault="00583636" w:rsidP="00583636">
      <w:pPr>
        <w:rPr>
          <w:iCs/>
          <w:color w:val="000000" w:themeColor="text1"/>
          <w:sz w:val="22"/>
          <w:szCs w:val="22"/>
        </w:rPr>
      </w:pPr>
      <w:r w:rsidRPr="00D12DB7">
        <w:rPr>
          <w:iCs/>
          <w:color w:val="000000" w:themeColor="text1"/>
          <w:sz w:val="22"/>
          <w:szCs w:val="22"/>
        </w:rPr>
        <w:t>Source: Chancellor’s office MIS Data Mart, EMSI</w:t>
      </w:r>
    </w:p>
    <w:p w:rsidR="00583636" w:rsidRDefault="00583636" w:rsidP="00583636">
      <w:pPr>
        <w:rPr>
          <w:i/>
          <w:iCs/>
          <w:color w:val="000000" w:themeColor="text1"/>
        </w:rPr>
      </w:pPr>
    </w:p>
    <w:p w:rsidR="00583636" w:rsidRDefault="00583636" w:rsidP="00583636">
      <w:pPr>
        <w:rPr>
          <w:i/>
          <w:iCs/>
          <w:color w:val="000000" w:themeColor="text1"/>
        </w:rPr>
      </w:pPr>
    </w:p>
    <w:p w:rsidR="00BE02D2" w:rsidRDefault="00BE02D2" w:rsidP="00583636">
      <w:pPr>
        <w:rPr>
          <w:i/>
          <w:iCs/>
          <w:color w:val="000000" w:themeColor="text1"/>
        </w:rPr>
      </w:pPr>
    </w:p>
    <w:p w:rsidR="00BE02D2" w:rsidRDefault="00BE02D2" w:rsidP="00583636">
      <w:pPr>
        <w:rPr>
          <w:i/>
          <w:iCs/>
          <w:color w:val="000000" w:themeColor="text1"/>
        </w:rPr>
      </w:pPr>
    </w:p>
    <w:p w:rsidR="00583636" w:rsidRDefault="00583636" w:rsidP="00583636">
      <w:pPr>
        <w:rPr>
          <w:i/>
          <w:iCs/>
          <w:color w:val="000000" w:themeColor="text1"/>
        </w:rPr>
      </w:pPr>
      <w:r w:rsidRPr="00391F5C">
        <w:rPr>
          <w:i/>
          <w:iCs/>
          <w:color w:val="000000" w:themeColor="text1"/>
        </w:rPr>
        <w:t xml:space="preserve">Exhibit </w:t>
      </w:r>
      <w:r>
        <w:rPr>
          <w:i/>
          <w:iCs/>
          <w:color w:val="000000" w:themeColor="text1"/>
        </w:rPr>
        <w:t>5</w:t>
      </w:r>
      <w:r w:rsidRPr="00391F5C">
        <w:rPr>
          <w:i/>
          <w:iCs/>
          <w:color w:val="000000" w:themeColor="text1"/>
        </w:rPr>
        <w:t>:</w:t>
      </w:r>
      <w:r>
        <w:rPr>
          <w:i/>
          <w:iCs/>
          <w:color w:val="000000" w:themeColor="text1"/>
        </w:rPr>
        <w:t xml:space="preserve"> Training Gap</w:t>
      </w:r>
      <w:r w:rsidRPr="00391F5C">
        <w:rPr>
          <w:i/>
          <w:iCs/>
          <w:color w:val="000000" w:themeColor="text1"/>
        </w:rPr>
        <w:t xml:space="preserve"> in</w:t>
      </w:r>
      <w:r>
        <w:rPr>
          <w:i/>
          <w:iCs/>
          <w:color w:val="000000" w:themeColor="text1"/>
        </w:rPr>
        <w:t xml:space="preserve"> the</w:t>
      </w:r>
      <w:r w:rsidRPr="00391F5C">
        <w:rPr>
          <w:i/>
          <w:iCs/>
          <w:color w:val="000000" w:themeColor="text1"/>
        </w:rPr>
        <w:t xml:space="preserve"> Rive</w:t>
      </w:r>
      <w:r>
        <w:rPr>
          <w:i/>
          <w:iCs/>
          <w:color w:val="000000" w:themeColor="text1"/>
        </w:rPr>
        <w:t>rside-San Bernardino-Ontario MSA</w:t>
      </w:r>
    </w:p>
    <w:p w:rsidR="00583636" w:rsidRPr="003D74CF" w:rsidRDefault="00583636" w:rsidP="00583636">
      <w:pPr>
        <w:rPr>
          <w:iCs/>
          <w:color w:val="000000" w:themeColor="text1"/>
        </w:rPr>
      </w:pPr>
      <w:r>
        <w:rPr>
          <w:iCs/>
          <w:noProof/>
          <w:color w:val="000000" w:themeColor="text1"/>
        </w:rPr>
        <w:drawing>
          <wp:inline distT="0" distB="0" distL="0" distR="0" wp14:anchorId="5EEE2392" wp14:editId="70D7855B">
            <wp:extent cx="6162675" cy="1638300"/>
            <wp:effectExtent l="0" t="0" r="952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83636" w:rsidRDefault="00583636" w:rsidP="00583636">
      <w:pPr>
        <w:pStyle w:val="Heading1"/>
        <w:spacing w:before="0" w:line="240" w:lineRule="auto"/>
        <w:rPr>
          <w:sz w:val="26"/>
          <w:szCs w:val="26"/>
        </w:rPr>
      </w:pPr>
    </w:p>
    <w:p w:rsidR="007418E1" w:rsidRDefault="007418E1" w:rsidP="007418E1">
      <w:pPr>
        <w:pStyle w:val="Heading1"/>
        <w:spacing w:before="0" w:line="240" w:lineRule="auto"/>
        <w:rPr>
          <w:sz w:val="26"/>
          <w:szCs w:val="26"/>
        </w:rPr>
      </w:pPr>
    </w:p>
    <w:p w:rsidR="00D7450C" w:rsidRDefault="00D7450C" w:rsidP="003609C1">
      <w:r>
        <w:t>Prepared by:</w:t>
      </w:r>
    </w:p>
    <w:p w:rsidR="00D7450C" w:rsidRDefault="00D7450C" w:rsidP="003609C1">
      <w:r>
        <w:t>Michael Goss</w:t>
      </w:r>
    </w:p>
    <w:p w:rsidR="00D7450C" w:rsidRDefault="00D7450C" w:rsidP="003609C1">
      <w:r>
        <w:t>Center of Excellence, Inland Empire/ Desert Region</w:t>
      </w:r>
    </w:p>
    <w:p w:rsidR="00D7450C" w:rsidRDefault="00D40560" w:rsidP="003609C1">
      <w:hyperlink r:id="rId14" w:history="1">
        <w:r w:rsidR="00D7450C" w:rsidRPr="00511F44">
          <w:rPr>
            <w:rStyle w:val="Hyperlink"/>
          </w:rPr>
          <w:t>michael.goss@chaffey.edu</w:t>
        </w:r>
      </w:hyperlink>
    </w:p>
    <w:p w:rsidR="00D7450C" w:rsidRPr="00D7450C" w:rsidRDefault="00D7450C" w:rsidP="003609C1">
      <w:r>
        <w:t>December 2016</w:t>
      </w:r>
    </w:p>
    <w:p w:rsidR="00AE0272" w:rsidRDefault="00AE0272" w:rsidP="00AE0272">
      <w:pPr>
        <w:shd w:val="clear" w:color="auto" w:fill="FFFFFF"/>
        <w:spacing w:after="360" w:line="360" w:lineRule="auto"/>
        <w:textAlignment w:val="baseline"/>
      </w:pPr>
    </w:p>
    <w:sectPr w:rsidR="00AE0272">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411" w:rsidRDefault="00FD4411" w:rsidP="00025662">
      <w:pPr>
        <w:spacing w:after="0" w:line="240" w:lineRule="auto"/>
      </w:pPr>
      <w:r>
        <w:separator/>
      </w:r>
    </w:p>
  </w:endnote>
  <w:endnote w:type="continuationSeparator" w:id="0">
    <w:p w:rsidR="00FD4411" w:rsidRDefault="00FD4411" w:rsidP="00025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585415"/>
      <w:docPartObj>
        <w:docPartGallery w:val="Page Numbers (Bottom of Page)"/>
        <w:docPartUnique/>
      </w:docPartObj>
    </w:sdtPr>
    <w:sdtEndPr>
      <w:rPr>
        <w:noProof/>
      </w:rPr>
    </w:sdtEndPr>
    <w:sdtContent>
      <w:p w:rsidR="00275C04" w:rsidRDefault="00275C04">
        <w:pPr>
          <w:pStyle w:val="Footer"/>
          <w:jc w:val="center"/>
        </w:pPr>
        <w:r>
          <w:fldChar w:fldCharType="begin"/>
        </w:r>
        <w:r>
          <w:instrText xml:space="preserve"> PAGE   \* MERGEFORMAT </w:instrText>
        </w:r>
        <w:r>
          <w:fldChar w:fldCharType="separate"/>
        </w:r>
        <w:r w:rsidR="00D40560">
          <w:rPr>
            <w:noProof/>
          </w:rPr>
          <w:t>1</w:t>
        </w:r>
        <w:r>
          <w:rPr>
            <w:noProof/>
          </w:rPr>
          <w:fldChar w:fldCharType="end"/>
        </w:r>
      </w:p>
    </w:sdtContent>
  </w:sdt>
  <w:p w:rsidR="00275C04" w:rsidRDefault="00275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411" w:rsidRDefault="00FD4411" w:rsidP="00025662">
      <w:pPr>
        <w:spacing w:after="0" w:line="240" w:lineRule="auto"/>
      </w:pPr>
      <w:r>
        <w:separator/>
      </w:r>
    </w:p>
  </w:footnote>
  <w:footnote w:type="continuationSeparator" w:id="0">
    <w:p w:rsidR="00FD4411" w:rsidRDefault="00FD4411" w:rsidP="00025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662" w:rsidRDefault="00025662">
    <w:pPr>
      <w:pStyle w:val="Header"/>
    </w:pPr>
    <w:r>
      <w:ptab w:relativeTo="margin" w:alignment="center" w:leader="none"/>
    </w:r>
    <w:r>
      <w:rPr>
        <w:noProof/>
      </w:rPr>
      <w:drawing>
        <wp:inline distT="0" distB="0" distL="0" distR="0" wp14:anchorId="05C2DBD3" wp14:editId="1F77E780">
          <wp:extent cx="2533650" cy="6174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_HOR.jpg"/>
                  <pic:cNvPicPr/>
                </pic:nvPicPr>
                <pic:blipFill>
                  <a:blip r:embed="rId1">
                    <a:extLst>
                      <a:ext uri="{28A0092B-C50C-407E-A947-70E740481C1C}">
                        <a14:useLocalDpi xmlns:a14="http://schemas.microsoft.com/office/drawing/2010/main" val="0"/>
                      </a:ext>
                    </a:extLst>
                  </a:blip>
                  <a:stretch>
                    <a:fillRect/>
                  </a:stretch>
                </pic:blipFill>
                <pic:spPr>
                  <a:xfrm>
                    <a:off x="0" y="0"/>
                    <a:ext cx="2534761" cy="617713"/>
                  </a:xfrm>
                  <a:prstGeom prst="rect">
                    <a:avLst/>
                  </a:prstGeom>
                </pic:spPr>
              </pic:pic>
            </a:graphicData>
          </a:graphic>
        </wp:inline>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62"/>
    <w:rsid w:val="00015B2D"/>
    <w:rsid w:val="00025662"/>
    <w:rsid w:val="00040AFD"/>
    <w:rsid w:val="0005026D"/>
    <w:rsid w:val="00074135"/>
    <w:rsid w:val="00075F60"/>
    <w:rsid w:val="00076772"/>
    <w:rsid w:val="00082E55"/>
    <w:rsid w:val="000911A1"/>
    <w:rsid w:val="000A25F8"/>
    <w:rsid w:val="000A5680"/>
    <w:rsid w:val="000B4707"/>
    <w:rsid w:val="000B693A"/>
    <w:rsid w:val="000C1D8F"/>
    <w:rsid w:val="000C6F0B"/>
    <w:rsid w:val="00105D73"/>
    <w:rsid w:val="001310AC"/>
    <w:rsid w:val="00157414"/>
    <w:rsid w:val="00172B0E"/>
    <w:rsid w:val="00182BED"/>
    <w:rsid w:val="001A4442"/>
    <w:rsid w:val="001B0C27"/>
    <w:rsid w:val="001B660B"/>
    <w:rsid w:val="001E665D"/>
    <w:rsid w:val="001F630C"/>
    <w:rsid w:val="00212BF6"/>
    <w:rsid w:val="002156BC"/>
    <w:rsid w:val="00234D68"/>
    <w:rsid w:val="00254126"/>
    <w:rsid w:val="002612E0"/>
    <w:rsid w:val="00275C04"/>
    <w:rsid w:val="002A46BC"/>
    <w:rsid w:val="002C4D7B"/>
    <w:rsid w:val="002C5BCE"/>
    <w:rsid w:val="002C695D"/>
    <w:rsid w:val="002D6060"/>
    <w:rsid w:val="003155B8"/>
    <w:rsid w:val="003451C1"/>
    <w:rsid w:val="00350293"/>
    <w:rsid w:val="003609C1"/>
    <w:rsid w:val="003708E4"/>
    <w:rsid w:val="00396263"/>
    <w:rsid w:val="003C3040"/>
    <w:rsid w:val="003C7DC9"/>
    <w:rsid w:val="003D526D"/>
    <w:rsid w:val="003E6532"/>
    <w:rsid w:val="0040211B"/>
    <w:rsid w:val="0041077E"/>
    <w:rsid w:val="00423F0A"/>
    <w:rsid w:val="00455775"/>
    <w:rsid w:val="004661FD"/>
    <w:rsid w:val="00482470"/>
    <w:rsid w:val="004A0BB3"/>
    <w:rsid w:val="004D4FFA"/>
    <w:rsid w:val="004D6F09"/>
    <w:rsid w:val="004E3106"/>
    <w:rsid w:val="004F5B22"/>
    <w:rsid w:val="0054461C"/>
    <w:rsid w:val="005572E9"/>
    <w:rsid w:val="005668F8"/>
    <w:rsid w:val="00583636"/>
    <w:rsid w:val="00585361"/>
    <w:rsid w:val="005A14DE"/>
    <w:rsid w:val="005B032F"/>
    <w:rsid w:val="005B6643"/>
    <w:rsid w:val="005B6A04"/>
    <w:rsid w:val="005C0046"/>
    <w:rsid w:val="005C6FED"/>
    <w:rsid w:val="005C7988"/>
    <w:rsid w:val="005D1920"/>
    <w:rsid w:val="005D2811"/>
    <w:rsid w:val="0060713F"/>
    <w:rsid w:val="00610B9A"/>
    <w:rsid w:val="006111D1"/>
    <w:rsid w:val="00615F6B"/>
    <w:rsid w:val="00627EEF"/>
    <w:rsid w:val="00662070"/>
    <w:rsid w:val="00696666"/>
    <w:rsid w:val="006A7513"/>
    <w:rsid w:val="006A7EF8"/>
    <w:rsid w:val="0070082B"/>
    <w:rsid w:val="0070484B"/>
    <w:rsid w:val="0072741D"/>
    <w:rsid w:val="007418E1"/>
    <w:rsid w:val="00742678"/>
    <w:rsid w:val="007574D0"/>
    <w:rsid w:val="007812A8"/>
    <w:rsid w:val="007D2896"/>
    <w:rsid w:val="007E09A9"/>
    <w:rsid w:val="007E0C3B"/>
    <w:rsid w:val="007E152D"/>
    <w:rsid w:val="008100EC"/>
    <w:rsid w:val="008104EC"/>
    <w:rsid w:val="0086024C"/>
    <w:rsid w:val="00883963"/>
    <w:rsid w:val="008B29D2"/>
    <w:rsid w:val="008B2CF4"/>
    <w:rsid w:val="008D2075"/>
    <w:rsid w:val="008D3B85"/>
    <w:rsid w:val="008E3F27"/>
    <w:rsid w:val="008F2719"/>
    <w:rsid w:val="00900D0D"/>
    <w:rsid w:val="00916A44"/>
    <w:rsid w:val="00931CA8"/>
    <w:rsid w:val="0095568A"/>
    <w:rsid w:val="00955E2F"/>
    <w:rsid w:val="0096110A"/>
    <w:rsid w:val="00972DA6"/>
    <w:rsid w:val="009A0B5F"/>
    <w:rsid w:val="009A4515"/>
    <w:rsid w:val="009C0AA7"/>
    <w:rsid w:val="009C40B7"/>
    <w:rsid w:val="009E6018"/>
    <w:rsid w:val="00A0015B"/>
    <w:rsid w:val="00A01C0E"/>
    <w:rsid w:val="00A30378"/>
    <w:rsid w:val="00A342FC"/>
    <w:rsid w:val="00A42D09"/>
    <w:rsid w:val="00A664C4"/>
    <w:rsid w:val="00A67E38"/>
    <w:rsid w:val="00A90355"/>
    <w:rsid w:val="00AE0272"/>
    <w:rsid w:val="00AE4202"/>
    <w:rsid w:val="00AE4FFB"/>
    <w:rsid w:val="00AF343B"/>
    <w:rsid w:val="00B02E3C"/>
    <w:rsid w:val="00B04082"/>
    <w:rsid w:val="00B06663"/>
    <w:rsid w:val="00B54709"/>
    <w:rsid w:val="00B54D04"/>
    <w:rsid w:val="00B65908"/>
    <w:rsid w:val="00BB3B33"/>
    <w:rsid w:val="00BC435B"/>
    <w:rsid w:val="00BE02D2"/>
    <w:rsid w:val="00BE2CFE"/>
    <w:rsid w:val="00BE390A"/>
    <w:rsid w:val="00BE52FA"/>
    <w:rsid w:val="00BF5F87"/>
    <w:rsid w:val="00C01BB0"/>
    <w:rsid w:val="00C12FCA"/>
    <w:rsid w:val="00C141FA"/>
    <w:rsid w:val="00C64874"/>
    <w:rsid w:val="00C717D9"/>
    <w:rsid w:val="00C817FB"/>
    <w:rsid w:val="00C90067"/>
    <w:rsid w:val="00CA559B"/>
    <w:rsid w:val="00CB0DAC"/>
    <w:rsid w:val="00CC3215"/>
    <w:rsid w:val="00CD6CFF"/>
    <w:rsid w:val="00D40560"/>
    <w:rsid w:val="00D50F44"/>
    <w:rsid w:val="00D739D1"/>
    <w:rsid w:val="00D7450C"/>
    <w:rsid w:val="00D74C75"/>
    <w:rsid w:val="00DB4188"/>
    <w:rsid w:val="00DD57AA"/>
    <w:rsid w:val="00DF35A3"/>
    <w:rsid w:val="00E01DC5"/>
    <w:rsid w:val="00E244EF"/>
    <w:rsid w:val="00E31FAC"/>
    <w:rsid w:val="00EA6225"/>
    <w:rsid w:val="00EB528D"/>
    <w:rsid w:val="00ED3A19"/>
    <w:rsid w:val="00EE0229"/>
    <w:rsid w:val="00EF351D"/>
    <w:rsid w:val="00F16B31"/>
    <w:rsid w:val="00F47FCD"/>
    <w:rsid w:val="00F51E15"/>
    <w:rsid w:val="00F6255E"/>
    <w:rsid w:val="00F673E9"/>
    <w:rsid w:val="00F76CDD"/>
    <w:rsid w:val="00F851EB"/>
    <w:rsid w:val="00F9346B"/>
    <w:rsid w:val="00F97098"/>
    <w:rsid w:val="00FA62EC"/>
    <w:rsid w:val="00FB0C61"/>
    <w:rsid w:val="00FB2D82"/>
    <w:rsid w:val="00FC0DD4"/>
    <w:rsid w:val="00FD4411"/>
    <w:rsid w:val="00FE1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2F80BB-A5DC-402B-BB5C-0F8AFC8C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665D"/>
    <w:pPr>
      <w:keepNext/>
      <w:keepLines/>
      <w:spacing w:before="480" w:after="0"/>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semiHidden/>
    <w:unhideWhenUsed/>
    <w:qFormat/>
    <w:rsid w:val="001A4442"/>
    <w:pPr>
      <w:keepNext/>
      <w:keepLines/>
      <w:spacing w:before="200" w:after="0"/>
      <w:outlineLvl w:val="1"/>
    </w:pPr>
    <w:rPr>
      <w:rFonts w:asciiTheme="majorHAnsi" w:eastAsiaTheme="majorEastAsia" w:hAnsiTheme="majorHAnsi" w:cstheme="majorBidi"/>
      <w:b/>
      <w:bCs/>
      <w:color w:val="6076B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662"/>
  </w:style>
  <w:style w:type="paragraph" w:styleId="Footer">
    <w:name w:val="footer"/>
    <w:basedOn w:val="Normal"/>
    <w:link w:val="FooterChar"/>
    <w:uiPriority w:val="99"/>
    <w:unhideWhenUsed/>
    <w:rsid w:val="00025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662"/>
  </w:style>
  <w:style w:type="paragraph" w:styleId="BalloonText">
    <w:name w:val="Balloon Text"/>
    <w:basedOn w:val="Normal"/>
    <w:link w:val="BalloonTextChar"/>
    <w:uiPriority w:val="99"/>
    <w:semiHidden/>
    <w:unhideWhenUsed/>
    <w:rsid w:val="00025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662"/>
    <w:rPr>
      <w:rFonts w:ascii="Tahoma" w:hAnsi="Tahoma" w:cs="Tahoma"/>
      <w:sz w:val="16"/>
      <w:szCs w:val="16"/>
    </w:rPr>
  </w:style>
  <w:style w:type="character" w:styleId="Hyperlink">
    <w:name w:val="Hyperlink"/>
    <w:basedOn w:val="DefaultParagraphFont"/>
    <w:uiPriority w:val="99"/>
    <w:unhideWhenUsed/>
    <w:rsid w:val="00A0015B"/>
    <w:rPr>
      <w:color w:val="0000FF"/>
      <w:u w:val="single"/>
    </w:rPr>
  </w:style>
  <w:style w:type="character" w:customStyle="1" w:styleId="apple-converted-space">
    <w:name w:val="apple-converted-space"/>
    <w:basedOn w:val="DefaultParagraphFont"/>
    <w:rsid w:val="00A0015B"/>
  </w:style>
  <w:style w:type="paragraph" w:styleId="FootnoteText">
    <w:name w:val="footnote text"/>
    <w:basedOn w:val="Normal"/>
    <w:link w:val="FootnoteTextChar"/>
    <w:uiPriority w:val="99"/>
    <w:semiHidden/>
    <w:unhideWhenUsed/>
    <w:rsid w:val="008B2C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2CF4"/>
    <w:rPr>
      <w:sz w:val="20"/>
      <w:szCs w:val="20"/>
    </w:rPr>
  </w:style>
  <w:style w:type="character" w:styleId="FootnoteReference">
    <w:name w:val="footnote reference"/>
    <w:basedOn w:val="DefaultParagraphFont"/>
    <w:uiPriority w:val="99"/>
    <w:semiHidden/>
    <w:unhideWhenUsed/>
    <w:rsid w:val="008B2CF4"/>
    <w:rPr>
      <w:vertAlign w:val="superscript"/>
    </w:rPr>
  </w:style>
  <w:style w:type="character" w:customStyle="1" w:styleId="Heading1Char">
    <w:name w:val="Heading 1 Char"/>
    <w:basedOn w:val="DefaultParagraphFont"/>
    <w:link w:val="Heading1"/>
    <w:uiPriority w:val="9"/>
    <w:rsid w:val="001E665D"/>
    <w:rPr>
      <w:rFonts w:asciiTheme="majorHAnsi" w:eastAsiaTheme="majorEastAsia" w:hAnsiTheme="majorHAnsi" w:cstheme="majorBidi"/>
      <w:b/>
      <w:bCs/>
      <w:color w:val="42558C" w:themeColor="accent1" w:themeShade="BF"/>
      <w:sz w:val="28"/>
      <w:szCs w:val="28"/>
    </w:rPr>
  </w:style>
  <w:style w:type="paragraph" w:styleId="NoSpacing">
    <w:name w:val="No Spacing"/>
    <w:uiPriority w:val="1"/>
    <w:qFormat/>
    <w:rsid w:val="001E665D"/>
    <w:pPr>
      <w:spacing w:after="0" w:line="240" w:lineRule="auto"/>
    </w:pPr>
  </w:style>
  <w:style w:type="table" w:styleId="MediumShading1-Accent3">
    <w:name w:val="Medium Shading 1 Accent 3"/>
    <w:basedOn w:val="TableNormal"/>
    <w:uiPriority w:val="63"/>
    <w:rsid w:val="001E665D"/>
    <w:pPr>
      <w:spacing w:after="0" w:line="240" w:lineRule="auto"/>
    </w:pPr>
    <w:tblPr>
      <w:tblStyleRowBandSize w:val="1"/>
      <w:tblStyleColBandSize w:val="1"/>
      <w:tblInd w:w="0" w:type="dxa"/>
      <w:tblBorders>
        <w:top w:val="single" w:sz="8" w:space="0" w:color="ECA259" w:themeColor="accent3" w:themeTint="BF"/>
        <w:left w:val="single" w:sz="8" w:space="0" w:color="ECA259" w:themeColor="accent3" w:themeTint="BF"/>
        <w:bottom w:val="single" w:sz="8" w:space="0" w:color="ECA259" w:themeColor="accent3" w:themeTint="BF"/>
        <w:right w:val="single" w:sz="8" w:space="0" w:color="ECA259" w:themeColor="accent3" w:themeTint="BF"/>
        <w:insideH w:val="single" w:sz="8" w:space="0" w:color="ECA259"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CA259" w:themeColor="accent3" w:themeTint="BF"/>
          <w:left w:val="single" w:sz="8" w:space="0" w:color="ECA259" w:themeColor="accent3" w:themeTint="BF"/>
          <w:bottom w:val="single" w:sz="8" w:space="0" w:color="ECA259" w:themeColor="accent3" w:themeTint="BF"/>
          <w:right w:val="single" w:sz="8" w:space="0" w:color="ECA259" w:themeColor="accent3" w:themeTint="BF"/>
          <w:insideH w:val="nil"/>
          <w:insideV w:val="nil"/>
        </w:tcBorders>
        <w:shd w:val="clear" w:color="auto" w:fill="E68422" w:themeFill="accent3"/>
      </w:tcPr>
    </w:tblStylePr>
    <w:tblStylePr w:type="lastRow">
      <w:pPr>
        <w:spacing w:before="0" w:after="0" w:line="240" w:lineRule="auto"/>
      </w:pPr>
      <w:rPr>
        <w:b/>
        <w:bCs/>
      </w:rPr>
      <w:tblPr/>
      <w:tcPr>
        <w:tcBorders>
          <w:top w:val="double" w:sz="6" w:space="0" w:color="ECA259" w:themeColor="accent3" w:themeTint="BF"/>
          <w:left w:val="single" w:sz="8" w:space="0" w:color="ECA259" w:themeColor="accent3" w:themeTint="BF"/>
          <w:bottom w:val="single" w:sz="8" w:space="0" w:color="ECA259" w:themeColor="accent3" w:themeTint="BF"/>
          <w:right w:val="single" w:sz="8" w:space="0" w:color="ECA25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E0C8" w:themeFill="accent3" w:themeFillTint="3F"/>
      </w:tcPr>
    </w:tblStylePr>
    <w:tblStylePr w:type="band1Horz">
      <w:tblPr/>
      <w:tcPr>
        <w:tcBorders>
          <w:insideH w:val="nil"/>
          <w:insideV w:val="nil"/>
        </w:tcBorders>
        <w:shd w:val="clear" w:color="auto" w:fill="F8E0C8" w:themeFill="accent3"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1E665D"/>
    <w:pPr>
      <w:pBdr>
        <w:bottom w:val="single" w:sz="8" w:space="4" w:color="6076B4" w:themeColor="accent1"/>
      </w:pBdr>
      <w:spacing w:after="300" w:line="240" w:lineRule="auto"/>
      <w:contextualSpacing/>
    </w:pPr>
    <w:rPr>
      <w:rFonts w:asciiTheme="majorHAnsi" w:eastAsiaTheme="majorEastAsia" w:hAnsiTheme="majorHAnsi" w:cstheme="majorBidi"/>
      <w:color w:val="234170" w:themeColor="text2" w:themeShade="BF"/>
      <w:spacing w:val="5"/>
      <w:kern w:val="28"/>
      <w:sz w:val="52"/>
      <w:szCs w:val="52"/>
    </w:rPr>
  </w:style>
  <w:style w:type="character" w:customStyle="1" w:styleId="TitleChar">
    <w:name w:val="Title Char"/>
    <w:basedOn w:val="DefaultParagraphFont"/>
    <w:link w:val="Title"/>
    <w:uiPriority w:val="10"/>
    <w:rsid w:val="001E665D"/>
    <w:rPr>
      <w:rFonts w:asciiTheme="majorHAnsi" w:eastAsiaTheme="majorEastAsia" w:hAnsiTheme="majorHAnsi" w:cstheme="majorBidi"/>
      <w:color w:val="234170" w:themeColor="text2" w:themeShade="BF"/>
      <w:spacing w:val="5"/>
      <w:kern w:val="28"/>
      <w:sz w:val="52"/>
      <w:szCs w:val="52"/>
    </w:rPr>
  </w:style>
  <w:style w:type="paragraph" w:styleId="Subtitle">
    <w:name w:val="Subtitle"/>
    <w:basedOn w:val="Normal"/>
    <w:next w:val="Normal"/>
    <w:link w:val="SubtitleChar"/>
    <w:uiPriority w:val="11"/>
    <w:qFormat/>
    <w:rsid w:val="001E665D"/>
    <w:pPr>
      <w:numPr>
        <w:ilvl w:val="1"/>
      </w:numPr>
    </w:pPr>
    <w:rPr>
      <w:rFonts w:asciiTheme="majorHAnsi" w:eastAsiaTheme="majorEastAsia" w:hAnsiTheme="majorHAnsi" w:cstheme="majorBidi"/>
      <w:i/>
      <w:iCs/>
      <w:color w:val="6076B4" w:themeColor="accent1"/>
      <w:spacing w:val="15"/>
    </w:rPr>
  </w:style>
  <w:style w:type="character" w:customStyle="1" w:styleId="SubtitleChar">
    <w:name w:val="Subtitle Char"/>
    <w:basedOn w:val="DefaultParagraphFont"/>
    <w:link w:val="Subtitle"/>
    <w:uiPriority w:val="11"/>
    <w:rsid w:val="001E665D"/>
    <w:rPr>
      <w:rFonts w:asciiTheme="majorHAnsi" w:eastAsiaTheme="majorEastAsia" w:hAnsiTheme="majorHAnsi" w:cstheme="majorBidi"/>
      <w:i/>
      <w:iCs/>
      <w:color w:val="6076B4" w:themeColor="accent1"/>
      <w:spacing w:val="15"/>
      <w:sz w:val="24"/>
      <w:szCs w:val="24"/>
    </w:rPr>
  </w:style>
  <w:style w:type="character" w:customStyle="1" w:styleId="Heading2Char">
    <w:name w:val="Heading 2 Char"/>
    <w:basedOn w:val="DefaultParagraphFont"/>
    <w:link w:val="Heading2"/>
    <w:uiPriority w:val="9"/>
    <w:semiHidden/>
    <w:rsid w:val="001A4442"/>
    <w:rPr>
      <w:rFonts w:asciiTheme="majorHAnsi" w:eastAsiaTheme="majorEastAsia" w:hAnsiTheme="majorHAnsi" w:cstheme="majorBidi"/>
      <w:b/>
      <w:bCs/>
      <w:color w:val="6076B4" w:themeColor="accent1"/>
      <w:sz w:val="26"/>
      <w:szCs w:val="26"/>
    </w:rPr>
  </w:style>
  <w:style w:type="paragraph" w:styleId="Quote">
    <w:name w:val="Quote"/>
    <w:basedOn w:val="Normal"/>
    <w:next w:val="Normal"/>
    <w:link w:val="QuoteChar"/>
    <w:uiPriority w:val="29"/>
    <w:qFormat/>
    <w:rsid w:val="00DD57AA"/>
    <w:rPr>
      <w:i/>
      <w:iCs/>
      <w:color w:val="000000" w:themeColor="text1"/>
    </w:rPr>
  </w:style>
  <w:style w:type="character" w:customStyle="1" w:styleId="QuoteChar">
    <w:name w:val="Quote Char"/>
    <w:basedOn w:val="DefaultParagraphFont"/>
    <w:link w:val="Quote"/>
    <w:uiPriority w:val="29"/>
    <w:rsid w:val="00DD57AA"/>
    <w:rPr>
      <w:i/>
      <w:iCs/>
      <w:color w:val="000000" w:themeColor="text1"/>
    </w:rPr>
  </w:style>
  <w:style w:type="paragraph" w:styleId="NormalWeb">
    <w:name w:val="Normal (Web)"/>
    <w:basedOn w:val="Normal"/>
    <w:uiPriority w:val="99"/>
    <w:semiHidden/>
    <w:unhideWhenUsed/>
    <w:rsid w:val="00A42D09"/>
    <w:pPr>
      <w:spacing w:before="100" w:beforeAutospacing="1" w:after="100" w:afterAutospacing="1" w:line="240" w:lineRule="auto"/>
    </w:pPr>
    <w:rPr>
      <w:rFonts w:ascii="Times New Roman" w:eastAsiaTheme="minorEastAsia" w:hAnsi="Times New Roman" w:cs="Times New Roman"/>
    </w:rPr>
  </w:style>
  <w:style w:type="table" w:styleId="TableGrid">
    <w:name w:val="Table Grid"/>
    <w:basedOn w:val="TableNormal"/>
    <w:uiPriority w:val="59"/>
    <w:rsid w:val="003609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
    <w:name w:val="Medium Grid 3"/>
    <w:basedOn w:val="TableNormal"/>
    <w:uiPriority w:val="69"/>
    <w:rsid w:val="003609C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List-Accent1">
    <w:name w:val="Light List Accent 1"/>
    <w:basedOn w:val="TableNormal"/>
    <w:uiPriority w:val="61"/>
    <w:rsid w:val="003D526D"/>
    <w:pPr>
      <w:spacing w:after="0" w:line="240" w:lineRule="auto"/>
    </w:pPr>
    <w:tblPr>
      <w:tblStyleRowBandSize w:val="1"/>
      <w:tblStyleColBandSize w:val="1"/>
      <w:tblInd w:w="0" w:type="dxa"/>
      <w:tblBorders>
        <w:top w:val="single" w:sz="8" w:space="0" w:color="6076B4" w:themeColor="accent1"/>
        <w:left w:val="single" w:sz="8" w:space="0" w:color="6076B4" w:themeColor="accent1"/>
        <w:bottom w:val="single" w:sz="8" w:space="0" w:color="6076B4" w:themeColor="accent1"/>
        <w:right w:val="single" w:sz="8" w:space="0" w:color="6076B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076B4" w:themeFill="accent1"/>
      </w:tcPr>
    </w:tblStylePr>
    <w:tblStylePr w:type="lastRow">
      <w:pPr>
        <w:spacing w:before="0" w:after="0" w:line="240" w:lineRule="auto"/>
      </w:pPr>
      <w:rPr>
        <w:b/>
        <w:bCs/>
      </w:rPr>
      <w:tblPr/>
      <w:tcPr>
        <w:tcBorders>
          <w:top w:val="double" w:sz="6" w:space="0" w:color="6076B4" w:themeColor="accent1"/>
          <w:left w:val="single" w:sz="8" w:space="0" w:color="6076B4" w:themeColor="accent1"/>
          <w:bottom w:val="single" w:sz="8" w:space="0" w:color="6076B4" w:themeColor="accent1"/>
          <w:right w:val="single" w:sz="8" w:space="0" w:color="6076B4" w:themeColor="accent1"/>
        </w:tcBorders>
      </w:tcPr>
    </w:tblStylePr>
    <w:tblStylePr w:type="firstCol">
      <w:rPr>
        <w:b/>
        <w:bCs/>
      </w:rPr>
    </w:tblStylePr>
    <w:tblStylePr w:type="lastCol">
      <w:rPr>
        <w:b/>
        <w:bCs/>
      </w:rPr>
    </w:tblStylePr>
    <w:tblStylePr w:type="band1Vert">
      <w:tblPr/>
      <w:tcPr>
        <w:tcBorders>
          <w:top w:val="single" w:sz="8" w:space="0" w:color="6076B4" w:themeColor="accent1"/>
          <w:left w:val="single" w:sz="8" w:space="0" w:color="6076B4" w:themeColor="accent1"/>
          <w:bottom w:val="single" w:sz="8" w:space="0" w:color="6076B4" w:themeColor="accent1"/>
          <w:right w:val="single" w:sz="8" w:space="0" w:color="6076B4" w:themeColor="accent1"/>
        </w:tcBorders>
      </w:tcPr>
    </w:tblStylePr>
    <w:tblStylePr w:type="band1Horz">
      <w:tblPr/>
      <w:tcPr>
        <w:tcBorders>
          <w:top w:val="single" w:sz="8" w:space="0" w:color="6076B4" w:themeColor="accent1"/>
          <w:left w:val="single" w:sz="8" w:space="0" w:color="6076B4" w:themeColor="accent1"/>
          <w:bottom w:val="single" w:sz="8" w:space="0" w:color="6076B4" w:themeColor="accent1"/>
          <w:right w:val="single" w:sz="8" w:space="0" w:color="6076B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22297">
      <w:bodyDiv w:val="1"/>
      <w:marLeft w:val="0"/>
      <w:marRight w:val="0"/>
      <w:marTop w:val="0"/>
      <w:marBottom w:val="0"/>
      <w:divBdr>
        <w:top w:val="none" w:sz="0" w:space="0" w:color="auto"/>
        <w:left w:val="none" w:sz="0" w:space="0" w:color="auto"/>
        <w:bottom w:val="none" w:sz="0" w:space="0" w:color="auto"/>
        <w:right w:val="none" w:sz="0" w:space="0" w:color="auto"/>
      </w:divBdr>
    </w:div>
    <w:div w:id="147750850">
      <w:bodyDiv w:val="1"/>
      <w:marLeft w:val="0"/>
      <w:marRight w:val="0"/>
      <w:marTop w:val="0"/>
      <w:marBottom w:val="0"/>
      <w:divBdr>
        <w:top w:val="none" w:sz="0" w:space="0" w:color="auto"/>
        <w:left w:val="none" w:sz="0" w:space="0" w:color="auto"/>
        <w:bottom w:val="none" w:sz="0" w:space="0" w:color="auto"/>
        <w:right w:val="none" w:sz="0" w:space="0" w:color="auto"/>
      </w:divBdr>
    </w:div>
    <w:div w:id="159856789">
      <w:bodyDiv w:val="1"/>
      <w:marLeft w:val="0"/>
      <w:marRight w:val="0"/>
      <w:marTop w:val="0"/>
      <w:marBottom w:val="0"/>
      <w:divBdr>
        <w:top w:val="none" w:sz="0" w:space="0" w:color="auto"/>
        <w:left w:val="none" w:sz="0" w:space="0" w:color="auto"/>
        <w:bottom w:val="none" w:sz="0" w:space="0" w:color="auto"/>
        <w:right w:val="none" w:sz="0" w:space="0" w:color="auto"/>
      </w:divBdr>
    </w:div>
    <w:div w:id="276378975">
      <w:bodyDiv w:val="1"/>
      <w:marLeft w:val="0"/>
      <w:marRight w:val="0"/>
      <w:marTop w:val="0"/>
      <w:marBottom w:val="0"/>
      <w:divBdr>
        <w:top w:val="none" w:sz="0" w:space="0" w:color="auto"/>
        <w:left w:val="none" w:sz="0" w:space="0" w:color="auto"/>
        <w:bottom w:val="none" w:sz="0" w:space="0" w:color="auto"/>
        <w:right w:val="none" w:sz="0" w:space="0" w:color="auto"/>
      </w:divBdr>
    </w:div>
    <w:div w:id="455829813">
      <w:bodyDiv w:val="1"/>
      <w:marLeft w:val="0"/>
      <w:marRight w:val="0"/>
      <w:marTop w:val="0"/>
      <w:marBottom w:val="0"/>
      <w:divBdr>
        <w:top w:val="none" w:sz="0" w:space="0" w:color="auto"/>
        <w:left w:val="none" w:sz="0" w:space="0" w:color="auto"/>
        <w:bottom w:val="none" w:sz="0" w:space="0" w:color="auto"/>
        <w:right w:val="none" w:sz="0" w:space="0" w:color="auto"/>
      </w:divBdr>
    </w:div>
    <w:div w:id="518129963">
      <w:bodyDiv w:val="1"/>
      <w:marLeft w:val="0"/>
      <w:marRight w:val="0"/>
      <w:marTop w:val="0"/>
      <w:marBottom w:val="0"/>
      <w:divBdr>
        <w:top w:val="none" w:sz="0" w:space="0" w:color="auto"/>
        <w:left w:val="none" w:sz="0" w:space="0" w:color="auto"/>
        <w:bottom w:val="none" w:sz="0" w:space="0" w:color="auto"/>
        <w:right w:val="none" w:sz="0" w:space="0" w:color="auto"/>
      </w:divBdr>
    </w:div>
    <w:div w:id="530151001">
      <w:bodyDiv w:val="1"/>
      <w:marLeft w:val="0"/>
      <w:marRight w:val="0"/>
      <w:marTop w:val="0"/>
      <w:marBottom w:val="0"/>
      <w:divBdr>
        <w:top w:val="none" w:sz="0" w:space="0" w:color="auto"/>
        <w:left w:val="none" w:sz="0" w:space="0" w:color="auto"/>
        <w:bottom w:val="none" w:sz="0" w:space="0" w:color="auto"/>
        <w:right w:val="none" w:sz="0" w:space="0" w:color="auto"/>
      </w:divBdr>
    </w:div>
    <w:div w:id="622924453">
      <w:bodyDiv w:val="1"/>
      <w:marLeft w:val="0"/>
      <w:marRight w:val="0"/>
      <w:marTop w:val="0"/>
      <w:marBottom w:val="0"/>
      <w:divBdr>
        <w:top w:val="none" w:sz="0" w:space="0" w:color="auto"/>
        <w:left w:val="none" w:sz="0" w:space="0" w:color="auto"/>
        <w:bottom w:val="none" w:sz="0" w:space="0" w:color="auto"/>
        <w:right w:val="none" w:sz="0" w:space="0" w:color="auto"/>
      </w:divBdr>
    </w:div>
    <w:div w:id="684213757">
      <w:bodyDiv w:val="1"/>
      <w:marLeft w:val="0"/>
      <w:marRight w:val="0"/>
      <w:marTop w:val="0"/>
      <w:marBottom w:val="0"/>
      <w:divBdr>
        <w:top w:val="none" w:sz="0" w:space="0" w:color="auto"/>
        <w:left w:val="none" w:sz="0" w:space="0" w:color="auto"/>
        <w:bottom w:val="none" w:sz="0" w:space="0" w:color="auto"/>
        <w:right w:val="none" w:sz="0" w:space="0" w:color="auto"/>
      </w:divBdr>
    </w:div>
    <w:div w:id="756942335">
      <w:bodyDiv w:val="1"/>
      <w:marLeft w:val="0"/>
      <w:marRight w:val="0"/>
      <w:marTop w:val="0"/>
      <w:marBottom w:val="0"/>
      <w:divBdr>
        <w:top w:val="none" w:sz="0" w:space="0" w:color="auto"/>
        <w:left w:val="none" w:sz="0" w:space="0" w:color="auto"/>
        <w:bottom w:val="none" w:sz="0" w:space="0" w:color="auto"/>
        <w:right w:val="none" w:sz="0" w:space="0" w:color="auto"/>
      </w:divBdr>
    </w:div>
    <w:div w:id="942348648">
      <w:bodyDiv w:val="1"/>
      <w:marLeft w:val="0"/>
      <w:marRight w:val="0"/>
      <w:marTop w:val="0"/>
      <w:marBottom w:val="0"/>
      <w:divBdr>
        <w:top w:val="none" w:sz="0" w:space="0" w:color="auto"/>
        <w:left w:val="none" w:sz="0" w:space="0" w:color="auto"/>
        <w:bottom w:val="none" w:sz="0" w:space="0" w:color="auto"/>
        <w:right w:val="none" w:sz="0" w:space="0" w:color="auto"/>
      </w:divBdr>
    </w:div>
    <w:div w:id="1021322951">
      <w:bodyDiv w:val="1"/>
      <w:marLeft w:val="0"/>
      <w:marRight w:val="0"/>
      <w:marTop w:val="0"/>
      <w:marBottom w:val="0"/>
      <w:divBdr>
        <w:top w:val="none" w:sz="0" w:space="0" w:color="auto"/>
        <w:left w:val="none" w:sz="0" w:space="0" w:color="auto"/>
        <w:bottom w:val="none" w:sz="0" w:space="0" w:color="auto"/>
        <w:right w:val="none" w:sz="0" w:space="0" w:color="auto"/>
      </w:divBdr>
    </w:div>
    <w:div w:id="1082676408">
      <w:bodyDiv w:val="1"/>
      <w:marLeft w:val="0"/>
      <w:marRight w:val="0"/>
      <w:marTop w:val="0"/>
      <w:marBottom w:val="0"/>
      <w:divBdr>
        <w:top w:val="none" w:sz="0" w:space="0" w:color="auto"/>
        <w:left w:val="none" w:sz="0" w:space="0" w:color="auto"/>
        <w:bottom w:val="none" w:sz="0" w:space="0" w:color="auto"/>
        <w:right w:val="none" w:sz="0" w:space="0" w:color="auto"/>
      </w:divBdr>
    </w:div>
    <w:div w:id="1322733517">
      <w:bodyDiv w:val="1"/>
      <w:marLeft w:val="0"/>
      <w:marRight w:val="0"/>
      <w:marTop w:val="0"/>
      <w:marBottom w:val="0"/>
      <w:divBdr>
        <w:top w:val="none" w:sz="0" w:space="0" w:color="auto"/>
        <w:left w:val="none" w:sz="0" w:space="0" w:color="auto"/>
        <w:bottom w:val="none" w:sz="0" w:space="0" w:color="auto"/>
        <w:right w:val="none" w:sz="0" w:space="0" w:color="auto"/>
      </w:divBdr>
    </w:div>
    <w:div w:id="1327511681">
      <w:bodyDiv w:val="1"/>
      <w:marLeft w:val="0"/>
      <w:marRight w:val="0"/>
      <w:marTop w:val="0"/>
      <w:marBottom w:val="0"/>
      <w:divBdr>
        <w:top w:val="none" w:sz="0" w:space="0" w:color="auto"/>
        <w:left w:val="none" w:sz="0" w:space="0" w:color="auto"/>
        <w:bottom w:val="none" w:sz="0" w:space="0" w:color="auto"/>
        <w:right w:val="none" w:sz="0" w:space="0" w:color="auto"/>
      </w:divBdr>
    </w:div>
    <w:div w:id="1547136176">
      <w:bodyDiv w:val="1"/>
      <w:marLeft w:val="0"/>
      <w:marRight w:val="0"/>
      <w:marTop w:val="0"/>
      <w:marBottom w:val="0"/>
      <w:divBdr>
        <w:top w:val="none" w:sz="0" w:space="0" w:color="auto"/>
        <w:left w:val="none" w:sz="0" w:space="0" w:color="auto"/>
        <w:bottom w:val="none" w:sz="0" w:space="0" w:color="auto"/>
        <w:right w:val="none" w:sz="0" w:space="0" w:color="auto"/>
      </w:divBdr>
    </w:div>
    <w:div w:id="1560937524">
      <w:bodyDiv w:val="1"/>
      <w:marLeft w:val="0"/>
      <w:marRight w:val="0"/>
      <w:marTop w:val="0"/>
      <w:marBottom w:val="0"/>
      <w:divBdr>
        <w:top w:val="none" w:sz="0" w:space="0" w:color="auto"/>
        <w:left w:val="none" w:sz="0" w:space="0" w:color="auto"/>
        <w:bottom w:val="none" w:sz="0" w:space="0" w:color="auto"/>
        <w:right w:val="none" w:sz="0" w:space="0" w:color="auto"/>
      </w:divBdr>
    </w:div>
    <w:div w:id="1598438961">
      <w:bodyDiv w:val="1"/>
      <w:marLeft w:val="0"/>
      <w:marRight w:val="0"/>
      <w:marTop w:val="0"/>
      <w:marBottom w:val="0"/>
      <w:divBdr>
        <w:top w:val="none" w:sz="0" w:space="0" w:color="auto"/>
        <w:left w:val="none" w:sz="0" w:space="0" w:color="auto"/>
        <w:bottom w:val="none" w:sz="0" w:space="0" w:color="auto"/>
        <w:right w:val="none" w:sz="0" w:space="0" w:color="auto"/>
      </w:divBdr>
    </w:div>
    <w:div w:id="1629969679">
      <w:bodyDiv w:val="1"/>
      <w:marLeft w:val="0"/>
      <w:marRight w:val="0"/>
      <w:marTop w:val="0"/>
      <w:marBottom w:val="0"/>
      <w:divBdr>
        <w:top w:val="none" w:sz="0" w:space="0" w:color="auto"/>
        <w:left w:val="none" w:sz="0" w:space="0" w:color="auto"/>
        <w:bottom w:val="none" w:sz="0" w:space="0" w:color="auto"/>
        <w:right w:val="none" w:sz="0" w:space="0" w:color="auto"/>
      </w:divBdr>
    </w:div>
    <w:div w:id="1691561049">
      <w:bodyDiv w:val="1"/>
      <w:marLeft w:val="0"/>
      <w:marRight w:val="0"/>
      <w:marTop w:val="0"/>
      <w:marBottom w:val="0"/>
      <w:divBdr>
        <w:top w:val="none" w:sz="0" w:space="0" w:color="auto"/>
        <w:left w:val="none" w:sz="0" w:space="0" w:color="auto"/>
        <w:bottom w:val="none" w:sz="0" w:space="0" w:color="auto"/>
        <w:right w:val="none" w:sz="0" w:space="0" w:color="auto"/>
      </w:divBdr>
    </w:div>
    <w:div w:id="1707291038">
      <w:bodyDiv w:val="1"/>
      <w:marLeft w:val="0"/>
      <w:marRight w:val="0"/>
      <w:marTop w:val="0"/>
      <w:marBottom w:val="0"/>
      <w:divBdr>
        <w:top w:val="none" w:sz="0" w:space="0" w:color="auto"/>
        <w:left w:val="none" w:sz="0" w:space="0" w:color="auto"/>
        <w:bottom w:val="none" w:sz="0" w:space="0" w:color="auto"/>
        <w:right w:val="none" w:sz="0" w:space="0" w:color="auto"/>
      </w:divBdr>
    </w:div>
    <w:div w:id="1742753828">
      <w:bodyDiv w:val="1"/>
      <w:marLeft w:val="0"/>
      <w:marRight w:val="0"/>
      <w:marTop w:val="0"/>
      <w:marBottom w:val="0"/>
      <w:divBdr>
        <w:top w:val="none" w:sz="0" w:space="0" w:color="auto"/>
        <w:left w:val="none" w:sz="0" w:space="0" w:color="auto"/>
        <w:bottom w:val="none" w:sz="0" w:space="0" w:color="auto"/>
        <w:right w:val="none" w:sz="0" w:space="0" w:color="auto"/>
      </w:divBdr>
    </w:div>
    <w:div w:id="1957633709">
      <w:bodyDiv w:val="1"/>
      <w:marLeft w:val="0"/>
      <w:marRight w:val="0"/>
      <w:marTop w:val="0"/>
      <w:marBottom w:val="0"/>
      <w:divBdr>
        <w:top w:val="none" w:sz="0" w:space="0" w:color="auto"/>
        <w:left w:val="none" w:sz="0" w:space="0" w:color="auto"/>
        <w:bottom w:val="none" w:sz="0" w:space="0" w:color="auto"/>
        <w:right w:val="none" w:sz="0" w:space="0" w:color="auto"/>
      </w:divBdr>
    </w:div>
    <w:div w:id="1989895539">
      <w:bodyDiv w:val="1"/>
      <w:marLeft w:val="0"/>
      <w:marRight w:val="0"/>
      <w:marTop w:val="0"/>
      <w:marBottom w:val="0"/>
      <w:divBdr>
        <w:top w:val="none" w:sz="0" w:space="0" w:color="auto"/>
        <w:left w:val="none" w:sz="0" w:space="0" w:color="auto"/>
        <w:bottom w:val="none" w:sz="0" w:space="0" w:color="auto"/>
        <w:right w:val="none" w:sz="0" w:space="0" w:color="auto"/>
      </w:divBdr>
    </w:div>
    <w:div w:id="2073696177">
      <w:bodyDiv w:val="1"/>
      <w:marLeft w:val="0"/>
      <w:marRight w:val="0"/>
      <w:marTop w:val="0"/>
      <w:marBottom w:val="0"/>
      <w:divBdr>
        <w:top w:val="none" w:sz="0" w:space="0" w:color="auto"/>
        <w:left w:val="none" w:sz="0" w:space="0" w:color="auto"/>
        <w:bottom w:val="none" w:sz="0" w:space="0" w:color="auto"/>
        <w:right w:val="none" w:sz="0" w:space="0" w:color="auto"/>
      </w:divBdr>
    </w:div>
    <w:div w:id="208549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conomicmodeling.com/analyst/?t=25pT7" TargetMode="Externa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conomicmodeling.com/analyst/?t=25pT7" TargetMode="Externa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mailto:michael.goss@chaffe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B2A814-21D2-45F5-90A6-BC10F6DBEA8E}" type="doc">
      <dgm:prSet loTypeId="urn:microsoft.com/office/officeart/2005/8/layout/equation1" loCatId="relationship" qsTypeId="urn:microsoft.com/office/officeart/2005/8/quickstyle/simple1" qsCatId="simple" csTypeId="urn:microsoft.com/office/officeart/2005/8/colors/colorful1" csCatId="colorful" phldr="1"/>
      <dgm:spPr/>
    </dgm:pt>
    <dgm:pt modelId="{DDC25430-50E8-47EB-B810-1B28E12C78D6}">
      <dgm:prSet phldrT="[Text]" custT="1"/>
      <dgm:spPr/>
      <dgm:t>
        <a:bodyPr/>
        <a:lstStyle/>
        <a:p>
          <a:r>
            <a:rPr lang="en-US" sz="1400">
              <a:latin typeface="Tw Cen MT" panose="020B0602020104020603" pitchFamily="34" charset="0"/>
            </a:rPr>
            <a:t>Annual Job Openings</a:t>
          </a:r>
        </a:p>
        <a:p>
          <a:r>
            <a:rPr lang="en-US" sz="1400">
              <a:latin typeface="Tw Cen MT" panose="020B0602020104020603" pitchFamily="34" charset="0"/>
            </a:rPr>
            <a:t>213 </a:t>
          </a:r>
        </a:p>
      </dgm:t>
    </dgm:pt>
    <dgm:pt modelId="{73242B33-2089-4591-AE34-628EE929129E}" type="parTrans" cxnId="{1606D5CA-71B6-4AC8-A172-BA3A141C3F6E}">
      <dgm:prSet/>
      <dgm:spPr/>
      <dgm:t>
        <a:bodyPr/>
        <a:lstStyle/>
        <a:p>
          <a:endParaRPr lang="en-US" sz="1400">
            <a:latin typeface="Tw Cen MT" panose="020B0602020104020603" pitchFamily="34" charset="0"/>
          </a:endParaRPr>
        </a:p>
      </dgm:t>
    </dgm:pt>
    <dgm:pt modelId="{9611790F-DC21-47F4-8060-5570E855C91A}" type="sibTrans" cxnId="{1606D5CA-71B6-4AC8-A172-BA3A141C3F6E}">
      <dgm:prSet custT="1"/>
      <dgm:spPr/>
      <dgm:t>
        <a:bodyPr/>
        <a:lstStyle/>
        <a:p>
          <a:endParaRPr lang="en-US" sz="1400">
            <a:latin typeface="Tw Cen MT" panose="020B0602020104020603" pitchFamily="34" charset="0"/>
          </a:endParaRPr>
        </a:p>
      </dgm:t>
    </dgm:pt>
    <dgm:pt modelId="{42DDBDA0-DEF6-4BF7-93C1-C72EF628048E}">
      <dgm:prSet phldrT="[Text]" custT="1"/>
      <dgm:spPr/>
      <dgm:t>
        <a:bodyPr/>
        <a:lstStyle/>
        <a:p>
          <a:r>
            <a:rPr lang="en-US" sz="1400">
              <a:latin typeface="Tw Cen MT" panose="020B0602020104020603" pitchFamily="34" charset="0"/>
            </a:rPr>
            <a:t>Total degrees and awards </a:t>
          </a:r>
        </a:p>
        <a:p>
          <a:r>
            <a:rPr lang="en-US" sz="1400">
              <a:latin typeface="Tw Cen MT" panose="020B0602020104020603" pitchFamily="34" charset="0"/>
            </a:rPr>
            <a:t>55</a:t>
          </a:r>
        </a:p>
      </dgm:t>
    </dgm:pt>
    <dgm:pt modelId="{1CA88263-D3E9-40B1-BACF-986D6A0BAC58}" type="parTrans" cxnId="{41FBF66C-72DD-4BC8-9637-F1701B99050E}">
      <dgm:prSet/>
      <dgm:spPr/>
      <dgm:t>
        <a:bodyPr/>
        <a:lstStyle/>
        <a:p>
          <a:endParaRPr lang="en-US" sz="1400">
            <a:latin typeface="Tw Cen MT" panose="020B0602020104020603" pitchFamily="34" charset="0"/>
          </a:endParaRPr>
        </a:p>
      </dgm:t>
    </dgm:pt>
    <dgm:pt modelId="{E448CC5B-8C29-41EC-867A-6956AA5E96A1}" type="sibTrans" cxnId="{41FBF66C-72DD-4BC8-9637-F1701B99050E}">
      <dgm:prSet custT="1"/>
      <dgm:spPr/>
      <dgm:t>
        <a:bodyPr/>
        <a:lstStyle/>
        <a:p>
          <a:endParaRPr lang="en-US" sz="1400">
            <a:latin typeface="Tw Cen MT" panose="020B0602020104020603" pitchFamily="34" charset="0"/>
          </a:endParaRPr>
        </a:p>
      </dgm:t>
    </dgm:pt>
    <dgm:pt modelId="{55B63851-F11F-49A8-AD28-EE638C229E6B}">
      <dgm:prSet phldrT="[Text]" custT="1"/>
      <dgm:spPr/>
      <dgm:t>
        <a:bodyPr/>
        <a:lstStyle/>
        <a:p>
          <a:r>
            <a:rPr lang="en-US" sz="1600" b="1">
              <a:latin typeface="Tw Cen MT" panose="020B0602020104020603" pitchFamily="34" charset="0"/>
            </a:rPr>
            <a:t>Training gap </a:t>
          </a:r>
        </a:p>
        <a:p>
          <a:r>
            <a:rPr lang="en-US" sz="1600" b="1">
              <a:latin typeface="Tw Cen MT" panose="020B0602020104020603" pitchFamily="34" charset="0"/>
            </a:rPr>
            <a:t>158      </a:t>
          </a:r>
        </a:p>
      </dgm:t>
    </dgm:pt>
    <dgm:pt modelId="{91CA5798-759B-4901-8F7F-B4ACA7C291A8}" type="parTrans" cxnId="{54FF58D6-E34D-4661-8E96-3022289D0A44}">
      <dgm:prSet/>
      <dgm:spPr/>
      <dgm:t>
        <a:bodyPr/>
        <a:lstStyle/>
        <a:p>
          <a:endParaRPr lang="en-US" sz="1400">
            <a:latin typeface="Tw Cen MT" panose="020B0602020104020603" pitchFamily="34" charset="0"/>
          </a:endParaRPr>
        </a:p>
      </dgm:t>
    </dgm:pt>
    <dgm:pt modelId="{9C18B76D-EFC2-483F-B5D0-C30308F9CAA2}" type="sibTrans" cxnId="{54FF58D6-E34D-4661-8E96-3022289D0A44}">
      <dgm:prSet/>
      <dgm:spPr/>
      <dgm:t>
        <a:bodyPr/>
        <a:lstStyle/>
        <a:p>
          <a:endParaRPr lang="en-US" sz="1400">
            <a:latin typeface="Tw Cen MT" panose="020B0602020104020603" pitchFamily="34" charset="0"/>
          </a:endParaRPr>
        </a:p>
      </dgm:t>
    </dgm:pt>
    <dgm:pt modelId="{31B8F5B1-512B-491A-8876-DD3B1EB3BE8A}" type="pres">
      <dgm:prSet presAssocID="{77B2A814-21D2-45F5-90A6-BC10F6DBEA8E}" presName="linearFlow" presStyleCnt="0">
        <dgm:presLayoutVars>
          <dgm:dir/>
          <dgm:resizeHandles val="exact"/>
        </dgm:presLayoutVars>
      </dgm:prSet>
      <dgm:spPr/>
    </dgm:pt>
    <dgm:pt modelId="{170D6257-C8CC-4FDB-9AE0-2CFF8C2805ED}" type="pres">
      <dgm:prSet presAssocID="{DDC25430-50E8-47EB-B810-1B28E12C78D6}" presName="node" presStyleLbl="node1" presStyleIdx="0" presStyleCnt="3">
        <dgm:presLayoutVars>
          <dgm:bulletEnabled val="1"/>
        </dgm:presLayoutVars>
      </dgm:prSet>
      <dgm:spPr/>
      <dgm:t>
        <a:bodyPr/>
        <a:lstStyle/>
        <a:p>
          <a:endParaRPr lang="en-US"/>
        </a:p>
      </dgm:t>
    </dgm:pt>
    <dgm:pt modelId="{6BD08E3A-7EFB-4779-9BFF-7CF4243FA3B5}" type="pres">
      <dgm:prSet presAssocID="{9611790F-DC21-47F4-8060-5570E855C91A}" presName="spacerL" presStyleCnt="0"/>
      <dgm:spPr/>
    </dgm:pt>
    <dgm:pt modelId="{24D2C322-CE66-4988-90B8-57F062A32B3D}" type="pres">
      <dgm:prSet presAssocID="{9611790F-DC21-47F4-8060-5570E855C91A}" presName="sibTrans" presStyleLbl="sibTrans2D1" presStyleIdx="0" presStyleCnt="2"/>
      <dgm:spPr>
        <a:prstGeom prst="mathMinus">
          <a:avLst/>
        </a:prstGeom>
      </dgm:spPr>
      <dgm:t>
        <a:bodyPr/>
        <a:lstStyle/>
        <a:p>
          <a:endParaRPr lang="en-US"/>
        </a:p>
      </dgm:t>
    </dgm:pt>
    <dgm:pt modelId="{D7A817FA-BBCC-4564-8BE1-E07C26B35015}" type="pres">
      <dgm:prSet presAssocID="{9611790F-DC21-47F4-8060-5570E855C91A}" presName="spacerR" presStyleCnt="0"/>
      <dgm:spPr/>
    </dgm:pt>
    <dgm:pt modelId="{075670A9-58AC-4A88-9AA5-954AF2245D30}" type="pres">
      <dgm:prSet presAssocID="{42DDBDA0-DEF6-4BF7-93C1-C72EF628048E}" presName="node" presStyleLbl="node1" presStyleIdx="1" presStyleCnt="3">
        <dgm:presLayoutVars>
          <dgm:bulletEnabled val="1"/>
        </dgm:presLayoutVars>
      </dgm:prSet>
      <dgm:spPr/>
      <dgm:t>
        <a:bodyPr/>
        <a:lstStyle/>
        <a:p>
          <a:endParaRPr lang="en-US"/>
        </a:p>
      </dgm:t>
    </dgm:pt>
    <dgm:pt modelId="{2C4FAC25-B380-4FB8-907D-83AD08DA67BB}" type="pres">
      <dgm:prSet presAssocID="{E448CC5B-8C29-41EC-867A-6956AA5E96A1}" presName="spacerL" presStyleCnt="0"/>
      <dgm:spPr/>
    </dgm:pt>
    <dgm:pt modelId="{1C6A263C-A31E-4237-BEEF-955DBF1CCC6C}" type="pres">
      <dgm:prSet presAssocID="{E448CC5B-8C29-41EC-867A-6956AA5E96A1}" presName="sibTrans" presStyleLbl="sibTrans2D1" presStyleIdx="1" presStyleCnt="2"/>
      <dgm:spPr/>
      <dgm:t>
        <a:bodyPr/>
        <a:lstStyle/>
        <a:p>
          <a:endParaRPr lang="en-US"/>
        </a:p>
      </dgm:t>
    </dgm:pt>
    <dgm:pt modelId="{DF7DD6E8-35CD-4EF0-9F4E-396E684418F3}" type="pres">
      <dgm:prSet presAssocID="{E448CC5B-8C29-41EC-867A-6956AA5E96A1}" presName="spacerR" presStyleCnt="0"/>
      <dgm:spPr/>
    </dgm:pt>
    <dgm:pt modelId="{F898C52C-12C4-4365-9BE1-981268C0EAC3}" type="pres">
      <dgm:prSet presAssocID="{55B63851-F11F-49A8-AD28-EE638C229E6B}" presName="node" presStyleLbl="node1" presStyleIdx="2" presStyleCnt="3">
        <dgm:presLayoutVars>
          <dgm:bulletEnabled val="1"/>
        </dgm:presLayoutVars>
      </dgm:prSet>
      <dgm:spPr/>
      <dgm:t>
        <a:bodyPr/>
        <a:lstStyle/>
        <a:p>
          <a:endParaRPr lang="en-US"/>
        </a:p>
      </dgm:t>
    </dgm:pt>
  </dgm:ptLst>
  <dgm:cxnLst>
    <dgm:cxn modelId="{99D0CA6F-2877-4792-8143-C8E43063F92D}" type="presOf" srcId="{77B2A814-21D2-45F5-90A6-BC10F6DBEA8E}" destId="{31B8F5B1-512B-491A-8876-DD3B1EB3BE8A}" srcOrd="0" destOrd="0" presId="urn:microsoft.com/office/officeart/2005/8/layout/equation1"/>
    <dgm:cxn modelId="{1606D5CA-71B6-4AC8-A172-BA3A141C3F6E}" srcId="{77B2A814-21D2-45F5-90A6-BC10F6DBEA8E}" destId="{DDC25430-50E8-47EB-B810-1B28E12C78D6}" srcOrd="0" destOrd="0" parTransId="{73242B33-2089-4591-AE34-628EE929129E}" sibTransId="{9611790F-DC21-47F4-8060-5570E855C91A}"/>
    <dgm:cxn modelId="{7327B698-C68A-4E70-8725-A505CE9F8583}" type="presOf" srcId="{E448CC5B-8C29-41EC-867A-6956AA5E96A1}" destId="{1C6A263C-A31E-4237-BEEF-955DBF1CCC6C}" srcOrd="0" destOrd="0" presId="urn:microsoft.com/office/officeart/2005/8/layout/equation1"/>
    <dgm:cxn modelId="{41FBF66C-72DD-4BC8-9637-F1701B99050E}" srcId="{77B2A814-21D2-45F5-90A6-BC10F6DBEA8E}" destId="{42DDBDA0-DEF6-4BF7-93C1-C72EF628048E}" srcOrd="1" destOrd="0" parTransId="{1CA88263-D3E9-40B1-BACF-986D6A0BAC58}" sibTransId="{E448CC5B-8C29-41EC-867A-6956AA5E96A1}"/>
    <dgm:cxn modelId="{58891350-E686-4ABC-B314-893BF4468D43}" type="presOf" srcId="{55B63851-F11F-49A8-AD28-EE638C229E6B}" destId="{F898C52C-12C4-4365-9BE1-981268C0EAC3}" srcOrd="0" destOrd="0" presId="urn:microsoft.com/office/officeart/2005/8/layout/equation1"/>
    <dgm:cxn modelId="{F0A19BC0-35CE-469C-90F9-837754EA8652}" type="presOf" srcId="{42DDBDA0-DEF6-4BF7-93C1-C72EF628048E}" destId="{075670A9-58AC-4A88-9AA5-954AF2245D30}" srcOrd="0" destOrd="0" presId="urn:microsoft.com/office/officeart/2005/8/layout/equation1"/>
    <dgm:cxn modelId="{4EF36E9C-0AAA-44E8-9303-B501B9E10623}" type="presOf" srcId="{9611790F-DC21-47F4-8060-5570E855C91A}" destId="{24D2C322-CE66-4988-90B8-57F062A32B3D}" srcOrd="0" destOrd="0" presId="urn:microsoft.com/office/officeart/2005/8/layout/equation1"/>
    <dgm:cxn modelId="{5B7C3AD4-19AA-444E-B7E2-09411F796956}" type="presOf" srcId="{DDC25430-50E8-47EB-B810-1B28E12C78D6}" destId="{170D6257-C8CC-4FDB-9AE0-2CFF8C2805ED}" srcOrd="0" destOrd="0" presId="urn:microsoft.com/office/officeart/2005/8/layout/equation1"/>
    <dgm:cxn modelId="{54FF58D6-E34D-4661-8E96-3022289D0A44}" srcId="{77B2A814-21D2-45F5-90A6-BC10F6DBEA8E}" destId="{55B63851-F11F-49A8-AD28-EE638C229E6B}" srcOrd="2" destOrd="0" parTransId="{91CA5798-759B-4901-8F7F-B4ACA7C291A8}" sibTransId="{9C18B76D-EFC2-483F-B5D0-C30308F9CAA2}"/>
    <dgm:cxn modelId="{B3E60F5D-C684-4C6B-9547-6F5F7D5DAEFF}" type="presParOf" srcId="{31B8F5B1-512B-491A-8876-DD3B1EB3BE8A}" destId="{170D6257-C8CC-4FDB-9AE0-2CFF8C2805ED}" srcOrd="0" destOrd="0" presId="urn:microsoft.com/office/officeart/2005/8/layout/equation1"/>
    <dgm:cxn modelId="{B0E0722F-4CCE-4AC0-8C7D-54420FB09204}" type="presParOf" srcId="{31B8F5B1-512B-491A-8876-DD3B1EB3BE8A}" destId="{6BD08E3A-7EFB-4779-9BFF-7CF4243FA3B5}" srcOrd="1" destOrd="0" presId="urn:microsoft.com/office/officeart/2005/8/layout/equation1"/>
    <dgm:cxn modelId="{B2966957-804C-49D5-842A-C3CF18442D15}" type="presParOf" srcId="{31B8F5B1-512B-491A-8876-DD3B1EB3BE8A}" destId="{24D2C322-CE66-4988-90B8-57F062A32B3D}" srcOrd="2" destOrd="0" presId="urn:microsoft.com/office/officeart/2005/8/layout/equation1"/>
    <dgm:cxn modelId="{7986BA65-6616-4ABD-A527-56FEBB26D4EF}" type="presParOf" srcId="{31B8F5B1-512B-491A-8876-DD3B1EB3BE8A}" destId="{D7A817FA-BBCC-4564-8BE1-E07C26B35015}" srcOrd="3" destOrd="0" presId="urn:microsoft.com/office/officeart/2005/8/layout/equation1"/>
    <dgm:cxn modelId="{D7A36071-C015-42C0-877D-45928C1E38CA}" type="presParOf" srcId="{31B8F5B1-512B-491A-8876-DD3B1EB3BE8A}" destId="{075670A9-58AC-4A88-9AA5-954AF2245D30}" srcOrd="4" destOrd="0" presId="urn:microsoft.com/office/officeart/2005/8/layout/equation1"/>
    <dgm:cxn modelId="{936DA010-459D-4AA0-9AD7-703A4B395577}" type="presParOf" srcId="{31B8F5B1-512B-491A-8876-DD3B1EB3BE8A}" destId="{2C4FAC25-B380-4FB8-907D-83AD08DA67BB}" srcOrd="5" destOrd="0" presId="urn:microsoft.com/office/officeart/2005/8/layout/equation1"/>
    <dgm:cxn modelId="{B02ACF10-7D4B-4F92-9685-EC1DDCE1E2C7}" type="presParOf" srcId="{31B8F5B1-512B-491A-8876-DD3B1EB3BE8A}" destId="{1C6A263C-A31E-4237-BEEF-955DBF1CCC6C}" srcOrd="6" destOrd="0" presId="urn:microsoft.com/office/officeart/2005/8/layout/equation1"/>
    <dgm:cxn modelId="{4563AF64-F66F-4131-BE5F-9F1A71680E9B}" type="presParOf" srcId="{31B8F5B1-512B-491A-8876-DD3B1EB3BE8A}" destId="{DF7DD6E8-35CD-4EF0-9F4E-396E684418F3}" srcOrd="7" destOrd="0" presId="urn:microsoft.com/office/officeart/2005/8/layout/equation1"/>
    <dgm:cxn modelId="{FB3F760C-DFE4-4D40-9A50-C8E3453A313C}" type="presParOf" srcId="{31B8F5B1-512B-491A-8876-DD3B1EB3BE8A}" destId="{F898C52C-12C4-4365-9BE1-981268C0EAC3}" srcOrd="8" destOrd="0" presId="urn:microsoft.com/office/officeart/2005/8/layout/equati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0D6257-C8CC-4FDB-9AE0-2CFF8C2805ED}">
      <dsp:nvSpPr>
        <dsp:cNvPr id="0" name=""/>
        <dsp:cNvSpPr/>
      </dsp:nvSpPr>
      <dsp:spPr>
        <a:xfrm>
          <a:off x="1036" y="132318"/>
          <a:ext cx="1373662" cy="1373662"/>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latin typeface="Tw Cen MT" panose="020B0602020104020603" pitchFamily="34" charset="0"/>
            </a:rPr>
            <a:t>Annual Job Openings</a:t>
          </a:r>
        </a:p>
        <a:p>
          <a:pPr lvl="0" algn="ctr" defTabSz="622300">
            <a:lnSpc>
              <a:spcPct val="90000"/>
            </a:lnSpc>
            <a:spcBef>
              <a:spcPct val="0"/>
            </a:spcBef>
            <a:spcAft>
              <a:spcPct val="35000"/>
            </a:spcAft>
          </a:pPr>
          <a:r>
            <a:rPr lang="en-US" sz="1400" kern="1200">
              <a:latin typeface="Tw Cen MT" panose="020B0602020104020603" pitchFamily="34" charset="0"/>
            </a:rPr>
            <a:t>213 </a:t>
          </a:r>
        </a:p>
      </dsp:txBody>
      <dsp:txXfrm>
        <a:off x="202204" y="333486"/>
        <a:ext cx="971326" cy="971326"/>
      </dsp:txXfrm>
    </dsp:sp>
    <dsp:sp modelId="{24D2C322-CE66-4988-90B8-57F062A32B3D}">
      <dsp:nvSpPr>
        <dsp:cNvPr id="0" name=""/>
        <dsp:cNvSpPr/>
      </dsp:nvSpPr>
      <dsp:spPr>
        <a:xfrm>
          <a:off x="1486240" y="420787"/>
          <a:ext cx="796724" cy="796724"/>
        </a:xfrm>
        <a:prstGeom prst="mathMinus">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latin typeface="Tw Cen MT" panose="020B0602020104020603" pitchFamily="34" charset="0"/>
          </a:endParaRPr>
        </a:p>
      </dsp:txBody>
      <dsp:txXfrm>
        <a:off x="1591846" y="725454"/>
        <a:ext cx="585512" cy="187390"/>
      </dsp:txXfrm>
    </dsp:sp>
    <dsp:sp modelId="{075670A9-58AC-4A88-9AA5-954AF2245D30}">
      <dsp:nvSpPr>
        <dsp:cNvPr id="0" name=""/>
        <dsp:cNvSpPr/>
      </dsp:nvSpPr>
      <dsp:spPr>
        <a:xfrm>
          <a:off x="2394506" y="132318"/>
          <a:ext cx="1373662" cy="1373662"/>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latin typeface="Tw Cen MT" panose="020B0602020104020603" pitchFamily="34" charset="0"/>
            </a:rPr>
            <a:t>Total degrees and awards </a:t>
          </a:r>
        </a:p>
        <a:p>
          <a:pPr lvl="0" algn="ctr" defTabSz="622300">
            <a:lnSpc>
              <a:spcPct val="90000"/>
            </a:lnSpc>
            <a:spcBef>
              <a:spcPct val="0"/>
            </a:spcBef>
            <a:spcAft>
              <a:spcPct val="35000"/>
            </a:spcAft>
          </a:pPr>
          <a:r>
            <a:rPr lang="en-US" sz="1400" kern="1200">
              <a:latin typeface="Tw Cen MT" panose="020B0602020104020603" pitchFamily="34" charset="0"/>
            </a:rPr>
            <a:t>55</a:t>
          </a:r>
        </a:p>
      </dsp:txBody>
      <dsp:txXfrm>
        <a:off x="2595674" y="333486"/>
        <a:ext cx="971326" cy="971326"/>
      </dsp:txXfrm>
    </dsp:sp>
    <dsp:sp modelId="{1C6A263C-A31E-4237-BEEF-955DBF1CCC6C}">
      <dsp:nvSpPr>
        <dsp:cNvPr id="0" name=""/>
        <dsp:cNvSpPr/>
      </dsp:nvSpPr>
      <dsp:spPr>
        <a:xfrm>
          <a:off x="3879710" y="420787"/>
          <a:ext cx="796724" cy="796724"/>
        </a:xfrm>
        <a:prstGeom prst="mathEqual">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latin typeface="Tw Cen MT" panose="020B0602020104020603" pitchFamily="34" charset="0"/>
          </a:endParaRPr>
        </a:p>
      </dsp:txBody>
      <dsp:txXfrm>
        <a:off x="3985316" y="584912"/>
        <a:ext cx="585512" cy="468474"/>
      </dsp:txXfrm>
    </dsp:sp>
    <dsp:sp modelId="{F898C52C-12C4-4365-9BE1-981268C0EAC3}">
      <dsp:nvSpPr>
        <dsp:cNvPr id="0" name=""/>
        <dsp:cNvSpPr/>
      </dsp:nvSpPr>
      <dsp:spPr>
        <a:xfrm>
          <a:off x="4787975" y="132318"/>
          <a:ext cx="1373662" cy="1373662"/>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b="1" kern="1200">
              <a:latin typeface="Tw Cen MT" panose="020B0602020104020603" pitchFamily="34" charset="0"/>
            </a:rPr>
            <a:t>Training gap </a:t>
          </a:r>
        </a:p>
        <a:p>
          <a:pPr lvl="0" algn="ctr" defTabSz="711200">
            <a:lnSpc>
              <a:spcPct val="90000"/>
            </a:lnSpc>
            <a:spcBef>
              <a:spcPct val="0"/>
            </a:spcBef>
            <a:spcAft>
              <a:spcPct val="35000"/>
            </a:spcAft>
          </a:pPr>
          <a:r>
            <a:rPr lang="en-US" sz="1600" b="1" kern="1200">
              <a:latin typeface="Tw Cen MT" panose="020B0602020104020603" pitchFamily="34" charset="0"/>
            </a:rPr>
            <a:t>158      </a:t>
          </a:r>
        </a:p>
      </dsp:txBody>
      <dsp:txXfrm>
        <a:off x="4989143" y="333486"/>
        <a:ext cx="971326" cy="971326"/>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0A0B8-7C83-4236-A916-0B4D67F5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1105</Words>
  <Characters>6302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Goss</dc:creator>
  <cp:lastModifiedBy>Anthony Bonato</cp:lastModifiedBy>
  <cp:revision>2</cp:revision>
  <cp:lastPrinted>2016-07-13T20:32:00Z</cp:lastPrinted>
  <dcterms:created xsi:type="dcterms:W3CDTF">2018-04-23T23:43:00Z</dcterms:created>
  <dcterms:modified xsi:type="dcterms:W3CDTF">2018-04-23T23:43:00Z</dcterms:modified>
</cp:coreProperties>
</file>