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A89D56" w14:textId="212C69FB" w:rsidR="00C643E6" w:rsidRPr="00041699" w:rsidRDefault="00CA00FC" w:rsidP="005F6D2F">
      <w:pPr>
        <w:pStyle w:val="Title"/>
      </w:pPr>
      <w:r w:rsidRPr="003748AB">
        <w:rPr>
          <w:rFonts w:asciiTheme="majorHAnsi" w:hAnsiTheme="majorHAnsi"/>
          <w:noProof/>
        </w:rPr>
        <mc:AlternateContent>
          <mc:Choice Requires="wps">
            <w:drawing>
              <wp:anchor distT="45720" distB="45720" distL="114300" distR="114300" simplePos="0" relativeHeight="251660288" behindDoc="0" locked="0" layoutInCell="1" allowOverlap="1" wp14:anchorId="0A459780" wp14:editId="0D368822">
                <wp:simplePos x="0" y="0"/>
                <wp:positionH relativeFrom="column">
                  <wp:posOffset>3686175</wp:posOffset>
                </wp:positionH>
                <wp:positionV relativeFrom="paragraph">
                  <wp:posOffset>-542925</wp:posOffset>
                </wp:positionV>
                <wp:extent cx="2295525" cy="481965"/>
                <wp:effectExtent l="19050" t="19050" r="285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81965"/>
                        </a:xfrm>
                        <a:prstGeom prst="rect">
                          <a:avLst/>
                        </a:prstGeom>
                        <a:solidFill>
                          <a:srgbClr val="FFFFFF"/>
                        </a:solidFill>
                        <a:ln w="28575">
                          <a:solidFill>
                            <a:schemeClr val="tx1"/>
                          </a:solidFill>
                          <a:miter lim="800000"/>
                          <a:headEnd/>
                          <a:tailEnd/>
                        </a:ln>
                      </wps:spPr>
                      <wps:txbx>
                        <w:txbxContent>
                          <w:p w14:paraId="79BF4657" w14:textId="7CF6C9BD" w:rsidR="00EA145D" w:rsidRPr="00CA00FC" w:rsidRDefault="00EA145D" w:rsidP="00CA00FC">
                            <w:pPr>
                              <w:jc w:val="center"/>
                              <w:rPr>
                                <w:b/>
                                <w:i/>
                              </w:rPr>
                            </w:pPr>
                            <w:r w:rsidRPr="00CA00FC">
                              <w:rPr>
                                <w:b/>
                                <w:i/>
                              </w:rPr>
                              <w:t>Statewide Analysis for Regional Program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59780" id="_x0000_t202" coordsize="21600,21600" o:spt="202" path="m,l,21600r21600,l21600,xe">
                <v:stroke joinstyle="miter"/>
                <v:path gradientshapeok="t" o:connecttype="rect"/>
              </v:shapetype>
              <v:shape id="Text Box 2" o:spid="_x0000_s1026" type="#_x0000_t202" style="position:absolute;margin-left:290.25pt;margin-top:-42.75pt;width:180.75pt;height:3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" strokecolor="#1c1c1c [3213]" strokeweight="2.25pt">
                <v:textbox>
                  <w:txbxContent>
                    <w:p w14:paraId="79BF4657" w14:textId="7CF6C9BD" w:rsidR="00EA145D" w:rsidRPr="00CA00FC" w:rsidRDefault="00EA145D" w:rsidP="00CA00FC">
                      <w:pPr>
                        <w:jc w:val="center"/>
                        <w:rPr>
                          <w:b/>
                          <w:i/>
                        </w:rPr>
                      </w:pPr>
                      <w:r w:rsidRPr="00CA00FC">
                        <w:rPr>
                          <w:b/>
                          <w:i/>
                        </w:rPr>
                        <w:t>Statewide Analysis for Regional Program Recommendation</w:t>
                      </w:r>
                    </w:p>
                  </w:txbxContent>
                </v:textbox>
              </v:shape>
            </w:pict>
          </mc:Fallback>
        </mc:AlternateContent>
      </w:r>
      <w:r w:rsidR="00312FCB" w:rsidRPr="00041699">
        <w:t xml:space="preserve">Program </w:t>
      </w:r>
      <w:r w:rsidR="00D871A8">
        <w:t>Opportunity</w:t>
      </w:r>
      <w:r w:rsidR="00D871A8" w:rsidRPr="00041699">
        <w:t xml:space="preserve"> </w:t>
      </w:r>
      <w:r w:rsidR="00D262E6" w:rsidRPr="00041699">
        <w:t>Brief:</w:t>
      </w:r>
      <w:r w:rsidR="00554131" w:rsidRPr="00041699">
        <w:t xml:space="preserve"> </w:t>
      </w:r>
      <w:commentRangeStart w:id="1"/>
      <w:r w:rsidR="006B5AE8">
        <w:t>1223</w:t>
      </w:r>
      <w:r w:rsidR="00041699" w:rsidRPr="00041699">
        <w:t>.00</w:t>
      </w:r>
      <w:r w:rsidR="00656146" w:rsidRPr="00041699">
        <w:t>/</w:t>
      </w:r>
      <w:r w:rsidR="006B5AE8">
        <w:t>Health Information Technology</w:t>
      </w:r>
      <w:commentRangeEnd w:id="1"/>
      <w:r w:rsidR="00D871A8">
        <w:rPr>
          <w:rStyle w:val="CommentReference"/>
          <w:rFonts w:asciiTheme="minorHAnsi" w:eastAsiaTheme="minorHAnsi" w:hAnsiTheme="minorHAnsi" w:cstheme="minorBidi"/>
          <w:b w:val="0"/>
          <w:spacing w:val="0"/>
          <w:kern w:val="0"/>
        </w:rPr>
        <w:commentReference w:id="1"/>
      </w:r>
    </w:p>
    <w:p w14:paraId="37F2B51D" w14:textId="2368D945" w:rsidR="00830A02" w:rsidRPr="00041699" w:rsidRDefault="006B5AE8" w:rsidP="00C15771">
      <w:pPr>
        <w:pStyle w:val="Title2-ProgramName"/>
      </w:pPr>
      <w:r>
        <w:t>Public Health Informatics and Technology (Certificate)</w:t>
      </w:r>
    </w:p>
    <w:p w14:paraId="2056B165" w14:textId="375E4DF2" w:rsidR="00A358EC" w:rsidRPr="00041699" w:rsidRDefault="006B5AE8" w:rsidP="005F6D2F">
      <w:pPr>
        <w:pStyle w:val="Title3COE"/>
      </w:pPr>
      <w:r>
        <w:t>September</w:t>
      </w:r>
      <w:r w:rsidR="00C15771" w:rsidRPr="00041699">
        <w:t xml:space="preserve"> </w:t>
      </w:r>
      <w:r w:rsidR="00621863" w:rsidRPr="00041699">
        <w:t>20</w:t>
      </w:r>
      <w:r>
        <w:t>22</w:t>
      </w:r>
    </w:p>
    <w:p w14:paraId="033BBD26" w14:textId="734380AB" w:rsidR="00A84D55" w:rsidRDefault="00D5728F" w:rsidP="00B74EFA">
      <w:pPr>
        <w:pStyle w:val="Heading1"/>
        <w:spacing w:after="120"/>
      </w:pPr>
      <w:r w:rsidRPr="00041699">
        <w:t>Summary</w:t>
      </w:r>
      <w:r w:rsidR="0001191C" w:rsidRPr="00041699">
        <w:t xml:space="preserve"> Analysis</w:t>
      </w:r>
    </w:p>
    <w:p w14:paraId="00A8A405" w14:textId="5DD47A81" w:rsidR="00041699" w:rsidRPr="00A23FB6" w:rsidRDefault="001A6B1A" w:rsidP="00A23FB6">
      <w:pPr>
        <w:tabs>
          <w:tab w:val="clear" w:pos="0"/>
          <w:tab w:val="left" w:pos="2094"/>
          <w:tab w:val="left" w:pos="4070"/>
          <w:tab w:val="left" w:pos="4619"/>
          <w:tab w:val="left" w:pos="6595"/>
          <w:tab w:val="left" w:pos="7098"/>
          <w:tab w:val="left" w:pos="9075"/>
        </w:tabs>
        <w:ind w:left="113"/>
        <w:rPr>
          <w:sz w:val="2"/>
        </w:rPr>
      </w:pPr>
      <w:r w:rsidRPr="008A1623">
        <w:rPr>
          <w:b/>
          <w:sz w:val="2"/>
        </w:rPr>
        <w:tab/>
      </w:r>
      <w:r w:rsidRPr="008A1623">
        <w:rPr>
          <w:sz w:val="2"/>
        </w:rPr>
        <w:tab/>
      </w:r>
      <w:r w:rsidRPr="008A1623">
        <w:rPr>
          <w:sz w:val="2"/>
        </w:rPr>
        <w:tab/>
      </w:r>
      <w:r w:rsidRPr="008A1623">
        <w:rPr>
          <w:sz w:val="2"/>
        </w:rPr>
        <w:tab/>
      </w:r>
      <w:r w:rsidRPr="008A1623">
        <w:rPr>
          <w:sz w:val="2"/>
        </w:rPr>
        <w:tab/>
      </w:r>
      <w:r w:rsidRPr="008A1623">
        <w:rPr>
          <w:sz w:val="2"/>
        </w:rPr>
        <w:tab/>
      </w:r>
    </w:p>
    <w:p w14:paraId="64F3368C" w14:textId="515582AF" w:rsidR="00D871A8" w:rsidRDefault="0077489A" w:rsidP="00A16B39">
      <w:pPr>
        <w:spacing w:after="240"/>
        <w:rPr>
          <w:rFonts w:asciiTheme="majorHAnsi" w:hAnsiTheme="majorHAnsi"/>
        </w:rPr>
      </w:pPr>
      <w:r w:rsidRPr="00263C73">
        <w:rPr>
          <w:rFonts w:asciiTheme="majorHAnsi" w:hAnsiTheme="majorHAnsi"/>
        </w:rPr>
        <w:t xml:space="preserve">The Center of Excellence for Labor Market Research prepared this report to provide </w:t>
      </w:r>
      <w:r w:rsidR="00A23FB6">
        <w:rPr>
          <w:rFonts w:asciiTheme="majorHAnsi" w:hAnsiTheme="majorHAnsi"/>
        </w:rPr>
        <w:t>statewide</w:t>
      </w:r>
      <w:r w:rsidRPr="00263C73">
        <w:rPr>
          <w:rFonts w:asciiTheme="majorHAnsi" w:hAnsiTheme="majorHAnsi"/>
        </w:rPr>
        <w:t xml:space="preserve"> labor market supply and demand data related to </w:t>
      </w:r>
      <w:r w:rsidR="00A23FB6">
        <w:rPr>
          <w:rFonts w:asciiTheme="majorHAnsi" w:hAnsiTheme="majorHAnsi"/>
        </w:rPr>
        <w:t>public health informatics and technology</w:t>
      </w:r>
      <w:r w:rsidR="00990111">
        <w:rPr>
          <w:rFonts w:asciiTheme="majorHAnsi" w:hAnsiTheme="majorHAnsi"/>
        </w:rPr>
        <w:t xml:space="preserve"> (PHIT)</w:t>
      </w:r>
      <w:r w:rsidRPr="00263C73">
        <w:rPr>
          <w:rFonts w:asciiTheme="majorHAnsi" w:hAnsiTheme="majorHAnsi"/>
        </w:rPr>
        <w:t>.</w:t>
      </w:r>
    </w:p>
    <w:p w14:paraId="5E8BBC06" w14:textId="28E7C371" w:rsidR="00DD5AAC" w:rsidRDefault="00F863B0" w:rsidP="00A16B39">
      <w:pPr>
        <w:rPr>
          <w:rFonts w:asciiTheme="majorHAnsi" w:hAnsiTheme="majorHAnsi"/>
        </w:rPr>
      </w:pPr>
      <w:r>
        <w:rPr>
          <w:rFonts w:asciiTheme="majorHAnsi" w:hAnsiTheme="majorHAnsi"/>
        </w:rPr>
        <w:t>T</w:t>
      </w:r>
      <w:r w:rsidR="00DD5AAC">
        <w:rPr>
          <w:rFonts w:asciiTheme="majorHAnsi" w:hAnsiTheme="majorHAnsi"/>
        </w:rPr>
        <w:t xml:space="preserve">he </w:t>
      </w:r>
      <w:r w:rsidR="00A87DEA">
        <w:rPr>
          <w:rFonts w:asciiTheme="majorHAnsi" w:hAnsiTheme="majorHAnsi"/>
        </w:rPr>
        <w:t xml:space="preserve">US </w:t>
      </w:r>
      <w:r w:rsidR="00DD5AAC">
        <w:rPr>
          <w:rFonts w:asciiTheme="majorHAnsi" w:hAnsiTheme="majorHAnsi"/>
        </w:rPr>
        <w:t>Office of the National Coordinator for Health Information Technology (ONC)</w:t>
      </w:r>
      <w:r w:rsidR="00A87DEA">
        <w:rPr>
          <w:rStyle w:val="FootnoteReference"/>
          <w:rFonts w:asciiTheme="majorHAnsi" w:hAnsiTheme="majorHAnsi"/>
        </w:rPr>
        <w:footnoteReference w:id="1"/>
      </w:r>
      <w:r w:rsidR="00DD5AAC">
        <w:rPr>
          <w:rFonts w:asciiTheme="majorHAnsi" w:hAnsiTheme="majorHAnsi"/>
        </w:rPr>
        <w:t xml:space="preserve"> awarded funding</w:t>
      </w:r>
      <w:r w:rsidR="00075AE2">
        <w:rPr>
          <w:rFonts w:asciiTheme="majorHAnsi" w:hAnsiTheme="majorHAnsi"/>
        </w:rPr>
        <w:t xml:space="preserve"> to CSU Long Beach in 2021 to </w:t>
      </w:r>
      <w:r w:rsidR="00AC70F5">
        <w:rPr>
          <w:rFonts w:asciiTheme="majorHAnsi" w:hAnsiTheme="majorHAnsi"/>
        </w:rPr>
        <w:t xml:space="preserve">lead </w:t>
      </w:r>
      <w:r w:rsidR="00075AE2">
        <w:rPr>
          <w:rFonts w:asciiTheme="majorHAnsi" w:hAnsiTheme="majorHAnsi"/>
        </w:rPr>
        <w:t xml:space="preserve">a consortium of </w:t>
      </w:r>
      <w:r w:rsidR="00A360E5">
        <w:rPr>
          <w:rFonts w:asciiTheme="majorHAnsi" w:hAnsiTheme="majorHAnsi"/>
        </w:rPr>
        <w:t>institutions</w:t>
      </w:r>
      <w:r w:rsidR="00075AE2">
        <w:rPr>
          <w:rFonts w:asciiTheme="majorHAnsi" w:hAnsiTheme="majorHAnsi"/>
        </w:rPr>
        <w:t xml:space="preserve"> representing</w:t>
      </w:r>
      <w:r w:rsidR="00075AE2" w:rsidRPr="00075AE2">
        <w:rPr>
          <w:rFonts w:asciiTheme="majorHAnsi" w:hAnsiTheme="majorHAnsi"/>
        </w:rPr>
        <w:t xml:space="preserve"> </w:t>
      </w:r>
      <w:r w:rsidR="00A360E5">
        <w:rPr>
          <w:rFonts w:asciiTheme="majorHAnsi" w:hAnsiTheme="majorHAnsi"/>
        </w:rPr>
        <w:t xml:space="preserve">noncredit and credit educational </w:t>
      </w:r>
      <w:r w:rsidR="00075AE2" w:rsidRPr="00075AE2">
        <w:rPr>
          <w:rFonts w:asciiTheme="majorHAnsi" w:hAnsiTheme="majorHAnsi"/>
        </w:rPr>
        <w:t xml:space="preserve">pathways </w:t>
      </w:r>
      <w:r w:rsidR="00075AE2">
        <w:rPr>
          <w:rFonts w:asciiTheme="majorHAnsi" w:hAnsiTheme="majorHAnsi"/>
        </w:rPr>
        <w:t xml:space="preserve">and expand the </w:t>
      </w:r>
      <w:r w:rsidR="00DD5AAC">
        <w:rPr>
          <w:rFonts w:asciiTheme="majorHAnsi" w:hAnsiTheme="majorHAnsi"/>
        </w:rPr>
        <w:t>PHIT workforce</w:t>
      </w:r>
      <w:r>
        <w:rPr>
          <w:rFonts w:asciiTheme="majorHAnsi" w:hAnsiTheme="majorHAnsi"/>
        </w:rPr>
        <w:t>.</w:t>
      </w:r>
      <w:r>
        <w:rPr>
          <w:rStyle w:val="FootnoteReference"/>
          <w:rFonts w:asciiTheme="majorHAnsi" w:hAnsiTheme="majorHAnsi"/>
        </w:rPr>
        <w:footnoteReference w:id="2"/>
      </w:r>
      <w:r w:rsidR="00DD5AAC">
        <w:rPr>
          <w:rFonts w:asciiTheme="majorHAnsi" w:hAnsiTheme="majorHAnsi"/>
        </w:rPr>
        <w:t xml:space="preserve"> </w:t>
      </w:r>
      <w:r w:rsidR="00075AE2">
        <w:rPr>
          <w:rFonts w:asciiTheme="majorHAnsi" w:hAnsiTheme="majorHAnsi"/>
        </w:rPr>
        <w:t>For the</w:t>
      </w:r>
      <w:r w:rsidR="00A360E5">
        <w:rPr>
          <w:rFonts w:asciiTheme="majorHAnsi" w:hAnsiTheme="majorHAnsi"/>
        </w:rPr>
        <w:t xml:space="preserve"> 10</w:t>
      </w:r>
      <w:r w:rsidR="00075AE2">
        <w:rPr>
          <w:rFonts w:asciiTheme="majorHAnsi" w:hAnsiTheme="majorHAnsi"/>
        </w:rPr>
        <w:t xml:space="preserve"> </w:t>
      </w:r>
      <w:r>
        <w:rPr>
          <w:rFonts w:asciiTheme="majorHAnsi" w:hAnsiTheme="majorHAnsi"/>
        </w:rPr>
        <w:t xml:space="preserve">California </w:t>
      </w:r>
      <w:r w:rsidR="00075AE2">
        <w:rPr>
          <w:rFonts w:asciiTheme="majorHAnsi" w:hAnsiTheme="majorHAnsi"/>
        </w:rPr>
        <w:t xml:space="preserve">community colleges </w:t>
      </w:r>
      <w:r w:rsidR="00A360E5">
        <w:rPr>
          <w:rFonts w:asciiTheme="majorHAnsi" w:hAnsiTheme="majorHAnsi"/>
        </w:rPr>
        <w:t xml:space="preserve">collaborating on the program, this is an opportunity to </w:t>
      </w:r>
      <w:r w:rsidR="00A360E5" w:rsidRPr="00A360E5">
        <w:rPr>
          <w:rFonts w:asciiTheme="majorHAnsi" w:hAnsiTheme="majorHAnsi"/>
        </w:rPr>
        <w:t xml:space="preserve">address the </w:t>
      </w:r>
      <w:r w:rsidR="00A360E5">
        <w:rPr>
          <w:rFonts w:asciiTheme="majorHAnsi" w:hAnsiTheme="majorHAnsi"/>
        </w:rPr>
        <w:t>state’s need</w:t>
      </w:r>
      <w:r w:rsidR="00A360E5" w:rsidRPr="00A360E5">
        <w:rPr>
          <w:rFonts w:asciiTheme="majorHAnsi" w:hAnsiTheme="majorHAnsi"/>
        </w:rPr>
        <w:t xml:space="preserve"> for </w:t>
      </w:r>
      <w:r w:rsidR="008B0718">
        <w:rPr>
          <w:rFonts w:asciiTheme="majorHAnsi" w:hAnsiTheme="majorHAnsi"/>
        </w:rPr>
        <w:t>qualified PHIT</w:t>
      </w:r>
      <w:r w:rsidR="00A360E5" w:rsidRPr="00A360E5">
        <w:rPr>
          <w:rFonts w:asciiTheme="majorHAnsi" w:hAnsiTheme="majorHAnsi"/>
        </w:rPr>
        <w:t xml:space="preserve"> workers </w:t>
      </w:r>
      <w:r w:rsidR="00A360E5">
        <w:rPr>
          <w:rFonts w:asciiTheme="majorHAnsi" w:hAnsiTheme="majorHAnsi"/>
        </w:rPr>
        <w:t>and provide new opportunities for community college students</w:t>
      </w:r>
      <w:r w:rsidR="00DD5AAC">
        <w:rPr>
          <w:rFonts w:asciiTheme="majorHAnsi" w:hAnsiTheme="majorHAnsi"/>
        </w:rPr>
        <w:t xml:space="preserve">. </w:t>
      </w:r>
    </w:p>
    <w:p w14:paraId="41BF603B" w14:textId="364D943A" w:rsidR="00CD647F" w:rsidRDefault="00CD647F" w:rsidP="00A16B39">
      <w:pPr>
        <w:rPr>
          <w:rFonts w:asciiTheme="majorHAnsi" w:hAnsiTheme="majorHAnsi"/>
        </w:rPr>
      </w:pPr>
      <w:r>
        <w:rPr>
          <w:rFonts w:asciiTheme="majorHAnsi" w:hAnsiTheme="majorHAnsi"/>
        </w:rPr>
        <w:t xml:space="preserve">PHIT jobs from this initiative are primarily focused on strengthening public health information technology infrastructure, improving data collection related to COVID-19, and simultaneously increase the presence of underrepresented communities with the public health IT workforce. Some of these PHIT roles may focus on the creation, updates, and maintenance to dashboards related to </w:t>
      </w:r>
      <w:r w:rsidR="00AC70F5">
        <w:rPr>
          <w:rFonts w:asciiTheme="majorHAnsi" w:hAnsiTheme="majorHAnsi"/>
        </w:rPr>
        <w:t>COVID</w:t>
      </w:r>
      <w:r>
        <w:rPr>
          <w:rFonts w:asciiTheme="majorHAnsi" w:hAnsiTheme="majorHAnsi"/>
        </w:rPr>
        <w:t xml:space="preserve">-19 such as those produced by the </w:t>
      </w:r>
      <w:hyperlink r:id="rId10" w:history="1">
        <w:r w:rsidRPr="00CD647F">
          <w:rPr>
            <w:rStyle w:val="Hyperlink"/>
            <w:rFonts w:asciiTheme="majorHAnsi" w:hAnsiTheme="majorHAnsi"/>
          </w:rPr>
          <w:t>World Health Organization</w:t>
        </w:r>
      </w:hyperlink>
      <w:r>
        <w:rPr>
          <w:rFonts w:asciiTheme="majorHAnsi" w:hAnsiTheme="majorHAnsi"/>
        </w:rPr>
        <w:t xml:space="preserve">, </w:t>
      </w:r>
      <w:hyperlink r:id="rId11" w:history="1">
        <w:r w:rsidRPr="00CD647F">
          <w:rPr>
            <w:rStyle w:val="Hyperlink"/>
            <w:rFonts w:asciiTheme="majorHAnsi" w:hAnsiTheme="majorHAnsi"/>
          </w:rPr>
          <w:t>The New York Times</w:t>
        </w:r>
      </w:hyperlink>
      <w:r>
        <w:rPr>
          <w:rFonts w:asciiTheme="majorHAnsi" w:hAnsiTheme="majorHAnsi"/>
        </w:rPr>
        <w:t xml:space="preserve">, or </w:t>
      </w:r>
      <w:hyperlink r:id="rId12" w:history="1">
        <w:r w:rsidRPr="00EF545E">
          <w:rPr>
            <w:rStyle w:val="Hyperlink"/>
            <w:rFonts w:asciiTheme="majorHAnsi" w:hAnsiTheme="majorHAnsi"/>
          </w:rPr>
          <w:t xml:space="preserve">California’s </w:t>
        </w:r>
        <w:r w:rsidR="00EF545E" w:rsidRPr="00EF545E">
          <w:rPr>
            <w:rStyle w:val="Hyperlink"/>
            <w:rFonts w:asciiTheme="majorHAnsi" w:hAnsiTheme="majorHAnsi"/>
          </w:rPr>
          <w:t>Office of Digital Innovation</w:t>
        </w:r>
      </w:hyperlink>
      <w:r w:rsidR="00EF545E">
        <w:rPr>
          <w:rFonts w:asciiTheme="majorHAnsi" w:hAnsiTheme="majorHAnsi"/>
        </w:rPr>
        <w:t>.</w:t>
      </w:r>
    </w:p>
    <w:p w14:paraId="737BA5A2" w14:textId="363B0BCA" w:rsidR="000C1690" w:rsidRDefault="008B0718" w:rsidP="00A16B39">
      <w:pPr>
        <w:rPr>
          <w:rFonts w:asciiTheme="majorHAnsi" w:hAnsiTheme="majorHAnsi"/>
        </w:rPr>
      </w:pPr>
      <w:r>
        <w:rPr>
          <w:rFonts w:asciiTheme="majorHAnsi" w:hAnsiTheme="majorHAnsi"/>
        </w:rPr>
        <w:t>As</w:t>
      </w:r>
      <w:r w:rsidRPr="00263C73">
        <w:rPr>
          <w:rFonts w:asciiTheme="majorHAnsi" w:hAnsiTheme="majorHAnsi"/>
        </w:rPr>
        <w:t xml:space="preserve"> </w:t>
      </w:r>
      <w:r w:rsidR="00EB5E8E">
        <w:rPr>
          <w:rFonts w:asciiTheme="majorHAnsi" w:hAnsiTheme="majorHAnsi"/>
        </w:rPr>
        <w:t>the jobs impacted by PHIT are</w:t>
      </w:r>
      <w:r>
        <w:rPr>
          <w:rFonts w:asciiTheme="majorHAnsi" w:hAnsiTheme="majorHAnsi"/>
        </w:rPr>
        <w:t xml:space="preserve"> in development from a labor market perspective</w:t>
      </w:r>
      <w:r w:rsidR="0077489A" w:rsidRPr="00263C73">
        <w:rPr>
          <w:rFonts w:asciiTheme="majorHAnsi" w:hAnsiTheme="majorHAnsi"/>
        </w:rPr>
        <w:t xml:space="preserve">, the Standard Occupational Classification (SOC) </w:t>
      </w:r>
      <w:r>
        <w:rPr>
          <w:rFonts w:asciiTheme="majorHAnsi" w:hAnsiTheme="majorHAnsi"/>
        </w:rPr>
        <w:t>does not have a single occupational title for the role or roles</w:t>
      </w:r>
      <w:r w:rsidR="0077489A" w:rsidRPr="006B5A36">
        <w:rPr>
          <w:rFonts w:asciiTheme="majorHAnsi" w:hAnsiTheme="majorHAnsi"/>
        </w:rPr>
        <w:t xml:space="preserve">. Therefore, this report </w:t>
      </w:r>
      <w:r>
        <w:rPr>
          <w:rFonts w:asciiTheme="majorHAnsi" w:hAnsiTheme="majorHAnsi"/>
        </w:rPr>
        <w:t>will rely primarily on</w:t>
      </w:r>
      <w:r w:rsidRPr="006B5A36">
        <w:rPr>
          <w:rFonts w:asciiTheme="majorHAnsi" w:hAnsiTheme="majorHAnsi"/>
        </w:rPr>
        <w:t xml:space="preserve"> </w:t>
      </w:r>
      <w:r>
        <w:rPr>
          <w:rFonts w:asciiTheme="majorHAnsi" w:hAnsiTheme="majorHAnsi"/>
        </w:rPr>
        <w:t>information gathered from</w:t>
      </w:r>
      <w:r w:rsidR="0077489A" w:rsidRPr="006B5A36">
        <w:rPr>
          <w:rFonts w:asciiTheme="majorHAnsi" w:hAnsiTheme="majorHAnsi"/>
        </w:rPr>
        <w:t xml:space="preserve"> job posting </w:t>
      </w:r>
      <w:r>
        <w:rPr>
          <w:rFonts w:asciiTheme="majorHAnsi" w:hAnsiTheme="majorHAnsi"/>
        </w:rPr>
        <w:t>analytics</w:t>
      </w:r>
      <w:r w:rsidR="0077489A" w:rsidRPr="006B5A36">
        <w:rPr>
          <w:rFonts w:asciiTheme="majorHAnsi" w:hAnsiTheme="majorHAnsi"/>
        </w:rPr>
        <w:t xml:space="preserve">. </w:t>
      </w:r>
    </w:p>
    <w:p w14:paraId="24B5CAAE" w14:textId="5A72BC45" w:rsidR="000C1690" w:rsidRDefault="000C1690" w:rsidP="0077489A">
      <w:pPr>
        <w:spacing w:after="0"/>
        <w:rPr>
          <w:rFonts w:asciiTheme="majorHAnsi" w:hAnsiTheme="majorHAnsi"/>
        </w:rPr>
      </w:pPr>
      <w:r>
        <w:rPr>
          <w:rFonts w:asciiTheme="majorHAnsi" w:hAnsiTheme="majorHAnsi"/>
        </w:rPr>
        <w:t xml:space="preserve">Based on </w:t>
      </w:r>
      <w:r w:rsidR="00EB5E8E">
        <w:rPr>
          <w:rFonts w:asciiTheme="majorHAnsi" w:hAnsiTheme="majorHAnsi"/>
        </w:rPr>
        <w:t>information from job postings</w:t>
      </w:r>
      <w:r>
        <w:rPr>
          <w:rFonts w:asciiTheme="majorHAnsi" w:hAnsiTheme="majorHAnsi"/>
        </w:rPr>
        <w:t>,</w:t>
      </w:r>
      <w:r w:rsidR="00EB5E8E">
        <w:rPr>
          <w:rFonts w:asciiTheme="majorHAnsi" w:hAnsiTheme="majorHAnsi"/>
        </w:rPr>
        <w:t xml:space="preserve"> </w:t>
      </w:r>
      <w:r w:rsidR="00F863B0" w:rsidRPr="00EA145D">
        <w:rPr>
          <w:rFonts w:asciiTheme="majorHAnsi" w:hAnsiTheme="majorHAnsi"/>
        </w:rPr>
        <w:t>PHIT work</w:t>
      </w:r>
      <w:r w:rsidR="00F041F5" w:rsidRPr="00EA145D">
        <w:rPr>
          <w:rFonts w:asciiTheme="majorHAnsi" w:hAnsiTheme="majorHAnsi"/>
        </w:rPr>
        <w:t xml:space="preserve"> </w:t>
      </w:r>
      <w:r w:rsidR="00EA145D" w:rsidRPr="00EA145D">
        <w:rPr>
          <w:rFonts w:asciiTheme="majorHAnsi" w:hAnsiTheme="majorHAnsi"/>
        </w:rPr>
        <w:t>roles have increased since 2012</w:t>
      </w:r>
      <w:r w:rsidR="00DD5AAC" w:rsidRPr="00EA145D">
        <w:rPr>
          <w:rFonts w:asciiTheme="majorHAnsi" w:hAnsiTheme="majorHAnsi"/>
        </w:rPr>
        <w:t>.</w:t>
      </w:r>
      <w:r w:rsidR="00DD5AAC">
        <w:rPr>
          <w:rFonts w:asciiTheme="majorHAnsi" w:hAnsiTheme="majorHAnsi"/>
        </w:rPr>
        <w:t xml:space="preserve"> While workers may earn high wages</w:t>
      </w:r>
      <w:r w:rsidR="008C367C">
        <w:rPr>
          <w:rFonts w:asciiTheme="majorHAnsi" w:hAnsiTheme="majorHAnsi"/>
        </w:rPr>
        <w:t>, the majority</w:t>
      </w:r>
      <w:r w:rsidR="00DD5AAC">
        <w:rPr>
          <w:rFonts w:asciiTheme="majorHAnsi" w:hAnsiTheme="majorHAnsi"/>
        </w:rPr>
        <w:t xml:space="preserve"> of employers require a bachelor’s degree for PHIT jobs. </w:t>
      </w:r>
      <w:r w:rsidR="002A5283">
        <w:rPr>
          <w:rFonts w:asciiTheme="majorHAnsi" w:hAnsiTheme="majorHAnsi"/>
        </w:rPr>
        <w:t>Detailed reasons include:</w:t>
      </w:r>
      <w:r w:rsidR="00DD5AAC">
        <w:rPr>
          <w:rFonts w:asciiTheme="majorHAnsi" w:hAnsiTheme="majorHAnsi"/>
        </w:rPr>
        <w:t xml:space="preserve"> </w:t>
      </w:r>
    </w:p>
    <w:p w14:paraId="719EF7FD" w14:textId="15CC997E" w:rsidR="00AF44BF" w:rsidRDefault="00AF44BF" w:rsidP="0077489A">
      <w:pPr>
        <w:spacing w:after="0"/>
        <w:rPr>
          <w:rFonts w:asciiTheme="majorHAnsi" w:hAnsiTheme="majorHAnsi"/>
        </w:rPr>
      </w:pPr>
    </w:p>
    <w:p w14:paraId="679928D7" w14:textId="77777777" w:rsidR="0077489A" w:rsidRPr="002A5283" w:rsidRDefault="0077489A" w:rsidP="0077489A">
      <w:pPr>
        <w:pStyle w:val="Heading1"/>
        <w:rPr>
          <w:rFonts w:asciiTheme="majorHAnsi" w:hAnsiTheme="majorHAnsi"/>
        </w:rPr>
      </w:pPr>
      <w:r w:rsidRPr="002A5283">
        <w:rPr>
          <w:rFonts w:asciiTheme="majorHAnsi" w:hAnsiTheme="majorHAnsi"/>
        </w:rPr>
        <w:t>Demand:</w:t>
      </w:r>
    </w:p>
    <w:p w14:paraId="79C0B4EA" w14:textId="05ADA484" w:rsidR="0077489A" w:rsidRPr="002A5283" w:rsidRDefault="0077489A" w:rsidP="0077489A">
      <w:pPr>
        <w:pStyle w:val="ListParagraph"/>
        <w:numPr>
          <w:ilvl w:val="0"/>
          <w:numId w:val="26"/>
        </w:numPr>
        <w:rPr>
          <w:rFonts w:asciiTheme="majorHAnsi" w:hAnsiTheme="majorHAnsi"/>
          <w:bCs/>
          <w:szCs w:val="24"/>
        </w:rPr>
      </w:pPr>
      <w:r w:rsidRPr="002A5283">
        <w:rPr>
          <w:rFonts w:asciiTheme="majorHAnsi" w:hAnsiTheme="majorHAnsi"/>
          <w:bCs/>
          <w:szCs w:val="24"/>
        </w:rPr>
        <w:t xml:space="preserve">Over the last twelve months, there were </w:t>
      </w:r>
      <w:r w:rsidR="00EA145D">
        <w:rPr>
          <w:rFonts w:asciiTheme="majorHAnsi" w:hAnsiTheme="majorHAnsi"/>
          <w:b/>
          <w:szCs w:val="24"/>
        </w:rPr>
        <w:t>130</w:t>
      </w:r>
      <w:r w:rsidRPr="002A5283">
        <w:rPr>
          <w:rFonts w:asciiTheme="majorHAnsi" w:hAnsiTheme="majorHAnsi"/>
          <w:b/>
          <w:szCs w:val="24"/>
        </w:rPr>
        <w:t xml:space="preserve"> online job postings</w:t>
      </w:r>
      <w:r w:rsidRPr="002A5283">
        <w:rPr>
          <w:rFonts w:asciiTheme="majorHAnsi" w:hAnsiTheme="majorHAnsi"/>
          <w:bCs/>
          <w:szCs w:val="24"/>
        </w:rPr>
        <w:t xml:space="preserve"> that </w:t>
      </w:r>
      <w:r w:rsidRPr="00EA145D">
        <w:rPr>
          <w:rFonts w:asciiTheme="majorHAnsi" w:hAnsiTheme="majorHAnsi"/>
          <w:bCs/>
          <w:szCs w:val="24"/>
        </w:rPr>
        <w:t>included key words</w:t>
      </w:r>
      <w:r w:rsidRPr="002A5283">
        <w:rPr>
          <w:rFonts w:asciiTheme="majorHAnsi" w:hAnsiTheme="majorHAnsi"/>
          <w:bCs/>
          <w:szCs w:val="24"/>
        </w:rPr>
        <w:t xml:space="preserve"> </w:t>
      </w:r>
      <w:r w:rsidR="002A5283" w:rsidRPr="002A5283">
        <w:rPr>
          <w:rFonts w:asciiTheme="majorHAnsi" w:hAnsiTheme="majorHAnsi"/>
          <w:bCs/>
          <w:szCs w:val="24"/>
        </w:rPr>
        <w:t>related to public health informatics in the job description</w:t>
      </w:r>
      <w:r w:rsidRPr="002A5283">
        <w:rPr>
          <w:rFonts w:asciiTheme="majorHAnsi" w:hAnsiTheme="majorHAnsi"/>
          <w:bCs/>
          <w:szCs w:val="24"/>
        </w:rPr>
        <w:t xml:space="preserve">. </w:t>
      </w:r>
    </w:p>
    <w:p w14:paraId="70E97C07" w14:textId="220CF39F" w:rsidR="0077489A" w:rsidRPr="002A5283" w:rsidRDefault="0077489A" w:rsidP="0077489A">
      <w:pPr>
        <w:pStyle w:val="ListParagraph"/>
        <w:numPr>
          <w:ilvl w:val="0"/>
          <w:numId w:val="26"/>
        </w:numPr>
        <w:rPr>
          <w:rFonts w:asciiTheme="majorHAnsi" w:hAnsiTheme="majorHAnsi"/>
          <w:bCs/>
          <w:szCs w:val="24"/>
        </w:rPr>
      </w:pPr>
      <w:r w:rsidRPr="002A5283">
        <w:rPr>
          <w:rFonts w:asciiTheme="majorHAnsi" w:hAnsiTheme="majorHAnsi"/>
          <w:bCs/>
          <w:szCs w:val="24"/>
        </w:rPr>
        <w:t xml:space="preserve">The </w:t>
      </w:r>
      <w:r w:rsidRPr="00EA145D">
        <w:rPr>
          <w:rFonts w:asciiTheme="majorHAnsi" w:hAnsiTheme="majorHAnsi"/>
          <w:bCs/>
          <w:szCs w:val="24"/>
        </w:rPr>
        <w:t xml:space="preserve">highest number </w:t>
      </w:r>
      <w:r w:rsidRPr="00EA145D">
        <w:rPr>
          <w:rFonts w:asciiTheme="majorHAnsi" w:hAnsiTheme="majorHAnsi"/>
          <w:szCs w:val="24"/>
        </w:rPr>
        <w:t>job postings</w:t>
      </w:r>
      <w:r w:rsidRPr="002A5283">
        <w:rPr>
          <w:rFonts w:asciiTheme="majorHAnsi" w:hAnsiTheme="majorHAnsi"/>
          <w:szCs w:val="24"/>
        </w:rPr>
        <w:t xml:space="preserve"> were for </w:t>
      </w:r>
      <w:r w:rsidR="002A5283" w:rsidRPr="008C367C">
        <w:rPr>
          <w:rFonts w:asciiTheme="majorHAnsi" w:hAnsiTheme="majorHAnsi"/>
          <w:b/>
        </w:rPr>
        <w:t xml:space="preserve">health informatics consultants, public health analysts, </w:t>
      </w:r>
      <w:r w:rsidR="002A5283" w:rsidRPr="008C367C">
        <w:rPr>
          <w:rFonts w:asciiTheme="majorHAnsi" w:hAnsiTheme="majorHAnsi"/>
        </w:rPr>
        <w:t xml:space="preserve">and </w:t>
      </w:r>
      <w:r w:rsidR="002A5283" w:rsidRPr="008C367C">
        <w:rPr>
          <w:rFonts w:asciiTheme="majorHAnsi" w:hAnsiTheme="majorHAnsi"/>
          <w:b/>
          <w:szCs w:val="24"/>
        </w:rPr>
        <w:t>epidemiology analysts</w:t>
      </w:r>
      <w:r w:rsidR="00041699" w:rsidRPr="002A5283">
        <w:rPr>
          <w:rFonts w:asciiTheme="majorHAnsi" w:hAnsiTheme="majorHAnsi"/>
        </w:rPr>
        <w:t>.</w:t>
      </w:r>
    </w:p>
    <w:p w14:paraId="4847FEAC" w14:textId="7C4FDA16" w:rsidR="0077489A" w:rsidRPr="00EA145D" w:rsidRDefault="0077489A" w:rsidP="0077489A">
      <w:pPr>
        <w:pStyle w:val="ListParagraph"/>
        <w:numPr>
          <w:ilvl w:val="0"/>
          <w:numId w:val="26"/>
        </w:numPr>
        <w:rPr>
          <w:rFonts w:asciiTheme="majorHAnsi" w:hAnsiTheme="majorHAnsi"/>
          <w:b/>
          <w:bCs/>
          <w:szCs w:val="24"/>
        </w:rPr>
      </w:pPr>
      <w:r w:rsidRPr="002A5283">
        <w:rPr>
          <w:rFonts w:asciiTheme="majorHAnsi" w:hAnsiTheme="majorHAnsi"/>
          <w:szCs w:val="24"/>
        </w:rPr>
        <w:t xml:space="preserve">Of the </w:t>
      </w:r>
      <w:r w:rsidR="00EA145D">
        <w:rPr>
          <w:rFonts w:asciiTheme="majorHAnsi" w:hAnsiTheme="majorHAnsi"/>
          <w:szCs w:val="24"/>
        </w:rPr>
        <w:t>113</w:t>
      </w:r>
      <w:r w:rsidRPr="002A5283">
        <w:rPr>
          <w:rFonts w:asciiTheme="majorHAnsi" w:hAnsiTheme="majorHAnsi"/>
          <w:szCs w:val="24"/>
        </w:rPr>
        <w:t xml:space="preserve"> job postings that listed a minimum education requirement</w:t>
      </w:r>
      <w:r w:rsidR="00041699" w:rsidRPr="002A5283">
        <w:rPr>
          <w:rFonts w:asciiTheme="majorHAnsi" w:hAnsiTheme="majorHAnsi"/>
          <w:szCs w:val="24"/>
        </w:rPr>
        <w:t xml:space="preserve">, </w:t>
      </w:r>
      <w:r w:rsidR="00EB5E8E">
        <w:rPr>
          <w:rFonts w:asciiTheme="majorHAnsi" w:hAnsiTheme="majorHAnsi"/>
          <w:b/>
          <w:szCs w:val="24"/>
        </w:rPr>
        <w:t>a</w:t>
      </w:r>
      <w:r w:rsidR="00EB5E8E" w:rsidRPr="008C367C">
        <w:rPr>
          <w:rFonts w:asciiTheme="majorHAnsi" w:hAnsiTheme="majorHAnsi"/>
          <w:b/>
          <w:szCs w:val="24"/>
        </w:rPr>
        <w:t xml:space="preserve"> </w:t>
      </w:r>
      <w:r w:rsidR="00041699" w:rsidRPr="008C367C">
        <w:rPr>
          <w:rFonts w:asciiTheme="majorHAnsi" w:hAnsiTheme="majorHAnsi"/>
          <w:b/>
          <w:szCs w:val="24"/>
        </w:rPr>
        <w:t>majority (</w:t>
      </w:r>
      <w:r w:rsidR="00EA145D">
        <w:rPr>
          <w:rFonts w:asciiTheme="majorHAnsi" w:hAnsiTheme="majorHAnsi"/>
          <w:b/>
          <w:szCs w:val="24"/>
        </w:rPr>
        <w:t>84</w:t>
      </w:r>
      <w:r w:rsidR="00EB5E8E">
        <w:rPr>
          <w:rFonts w:asciiTheme="majorHAnsi" w:hAnsiTheme="majorHAnsi"/>
          <w:b/>
          <w:szCs w:val="24"/>
        </w:rPr>
        <w:t xml:space="preserve">% or </w:t>
      </w:r>
      <w:r w:rsidR="00EA145D">
        <w:rPr>
          <w:rFonts w:asciiTheme="majorHAnsi" w:hAnsiTheme="majorHAnsi"/>
          <w:b/>
          <w:szCs w:val="24"/>
        </w:rPr>
        <w:t>95</w:t>
      </w:r>
      <w:r w:rsidR="00EB5E8E">
        <w:rPr>
          <w:rFonts w:asciiTheme="majorHAnsi" w:hAnsiTheme="majorHAnsi"/>
          <w:b/>
          <w:szCs w:val="24"/>
        </w:rPr>
        <w:t xml:space="preserve"> postings</w:t>
      </w:r>
      <w:r w:rsidRPr="008C367C">
        <w:rPr>
          <w:rFonts w:asciiTheme="majorHAnsi" w:hAnsiTheme="majorHAnsi"/>
          <w:b/>
          <w:szCs w:val="24"/>
        </w:rPr>
        <w:t xml:space="preserve">) were </w:t>
      </w:r>
      <w:r w:rsidR="00EB5E8E">
        <w:rPr>
          <w:rFonts w:asciiTheme="majorHAnsi" w:hAnsiTheme="majorHAnsi"/>
          <w:b/>
          <w:szCs w:val="24"/>
        </w:rPr>
        <w:t>seeking</w:t>
      </w:r>
      <w:r w:rsidRPr="008C367C">
        <w:rPr>
          <w:rFonts w:asciiTheme="majorHAnsi" w:hAnsiTheme="majorHAnsi"/>
          <w:b/>
          <w:szCs w:val="24"/>
        </w:rPr>
        <w:t xml:space="preserve"> </w:t>
      </w:r>
      <w:r w:rsidR="00EB5E8E">
        <w:rPr>
          <w:rFonts w:asciiTheme="majorHAnsi" w:hAnsiTheme="majorHAnsi"/>
          <w:b/>
          <w:szCs w:val="24"/>
        </w:rPr>
        <w:t>applicants</w:t>
      </w:r>
      <w:r w:rsidRPr="008C367C">
        <w:rPr>
          <w:rFonts w:asciiTheme="majorHAnsi" w:hAnsiTheme="majorHAnsi"/>
          <w:b/>
          <w:szCs w:val="24"/>
        </w:rPr>
        <w:t xml:space="preserve"> with a bachelor’s degree.</w:t>
      </w:r>
      <w:r w:rsidRPr="002A5283">
        <w:rPr>
          <w:rFonts w:asciiTheme="majorHAnsi" w:hAnsiTheme="majorHAnsi"/>
          <w:szCs w:val="24"/>
        </w:rPr>
        <w:t xml:space="preserve"> </w:t>
      </w:r>
    </w:p>
    <w:p w14:paraId="1E6E7CB3" w14:textId="3474C301" w:rsidR="00EA145D" w:rsidRPr="002A5283" w:rsidRDefault="00EA145D" w:rsidP="00EA145D">
      <w:pPr>
        <w:pStyle w:val="ListParagraph"/>
        <w:numPr>
          <w:ilvl w:val="1"/>
          <w:numId w:val="26"/>
        </w:numPr>
        <w:rPr>
          <w:rFonts w:asciiTheme="majorHAnsi" w:hAnsiTheme="majorHAnsi"/>
          <w:b/>
          <w:bCs/>
          <w:szCs w:val="24"/>
        </w:rPr>
      </w:pPr>
      <w:r>
        <w:rPr>
          <w:rFonts w:asciiTheme="majorHAnsi" w:hAnsiTheme="majorHAnsi"/>
          <w:bCs/>
        </w:rPr>
        <w:t>The most commonly sought degrees were Public Health, Statistics, Mathematics, Computer Science, Epidemiology, and Medical Informatics.</w:t>
      </w:r>
    </w:p>
    <w:p w14:paraId="0D01D624" w14:textId="71409828" w:rsidR="0077489A" w:rsidRDefault="0077489A" w:rsidP="0077489A">
      <w:pPr>
        <w:pStyle w:val="ListParagraph"/>
        <w:numPr>
          <w:ilvl w:val="0"/>
          <w:numId w:val="26"/>
        </w:numPr>
        <w:rPr>
          <w:rFonts w:asciiTheme="majorHAnsi" w:hAnsiTheme="majorHAnsi"/>
          <w:bCs/>
          <w:szCs w:val="24"/>
        </w:rPr>
      </w:pPr>
      <w:r w:rsidRPr="002A5283">
        <w:rPr>
          <w:rFonts w:asciiTheme="majorHAnsi" w:hAnsiTheme="majorHAnsi"/>
          <w:bCs/>
          <w:szCs w:val="24"/>
        </w:rPr>
        <w:lastRenderedPageBreak/>
        <w:t xml:space="preserve">Job postings for </w:t>
      </w:r>
      <w:r w:rsidR="002A5283" w:rsidRPr="002A5283">
        <w:rPr>
          <w:rFonts w:asciiTheme="majorHAnsi" w:hAnsiTheme="majorHAnsi"/>
          <w:bCs/>
          <w:szCs w:val="24"/>
        </w:rPr>
        <w:t>PHIT</w:t>
      </w:r>
      <w:r w:rsidR="00EB5E8E">
        <w:rPr>
          <w:rFonts w:asciiTheme="majorHAnsi" w:hAnsiTheme="majorHAnsi"/>
          <w:bCs/>
          <w:szCs w:val="24"/>
        </w:rPr>
        <w:t>-related</w:t>
      </w:r>
      <w:r w:rsidRPr="002A5283">
        <w:rPr>
          <w:rFonts w:asciiTheme="majorHAnsi" w:hAnsiTheme="majorHAnsi"/>
          <w:bCs/>
          <w:szCs w:val="24"/>
        </w:rPr>
        <w:t xml:space="preserve"> positions offer a strong wage for qu</w:t>
      </w:r>
      <w:r w:rsidR="00041699" w:rsidRPr="002A5283">
        <w:rPr>
          <w:rFonts w:asciiTheme="majorHAnsi" w:hAnsiTheme="majorHAnsi"/>
          <w:bCs/>
          <w:szCs w:val="24"/>
        </w:rPr>
        <w:t xml:space="preserve">alified candidates, with </w:t>
      </w:r>
      <w:r w:rsidR="00EA145D">
        <w:rPr>
          <w:rFonts w:asciiTheme="majorHAnsi" w:hAnsiTheme="majorHAnsi"/>
          <w:bCs/>
          <w:szCs w:val="24"/>
        </w:rPr>
        <w:t xml:space="preserve">$43,700 </w:t>
      </w:r>
      <w:r w:rsidRPr="002A5283">
        <w:rPr>
          <w:rFonts w:asciiTheme="majorHAnsi" w:hAnsiTheme="majorHAnsi"/>
          <w:bCs/>
          <w:szCs w:val="24"/>
        </w:rPr>
        <w:t>being the entry-level salary (25</w:t>
      </w:r>
      <w:r w:rsidRPr="002A5283">
        <w:rPr>
          <w:rFonts w:asciiTheme="majorHAnsi" w:hAnsiTheme="majorHAnsi"/>
          <w:bCs/>
          <w:szCs w:val="24"/>
          <w:vertAlign w:val="superscript"/>
        </w:rPr>
        <w:t>th</w:t>
      </w:r>
      <w:r w:rsidRPr="002A5283">
        <w:rPr>
          <w:rFonts w:asciiTheme="majorHAnsi" w:hAnsiTheme="majorHAnsi"/>
          <w:bCs/>
          <w:szCs w:val="24"/>
        </w:rPr>
        <w:t xml:space="preserve"> percentile). The median </w:t>
      </w:r>
      <w:r w:rsidR="002A5283" w:rsidRPr="002A5283">
        <w:rPr>
          <w:rFonts w:asciiTheme="majorHAnsi" w:hAnsiTheme="majorHAnsi"/>
          <w:bCs/>
          <w:szCs w:val="24"/>
        </w:rPr>
        <w:t xml:space="preserve">market salary </w:t>
      </w:r>
      <w:r w:rsidRPr="002A5283">
        <w:rPr>
          <w:rFonts w:asciiTheme="majorHAnsi" w:hAnsiTheme="majorHAnsi"/>
          <w:b/>
          <w:szCs w:val="24"/>
        </w:rPr>
        <w:t xml:space="preserve">was </w:t>
      </w:r>
      <w:r w:rsidR="00EA145D">
        <w:rPr>
          <w:rFonts w:asciiTheme="majorHAnsi" w:hAnsiTheme="majorHAnsi"/>
          <w:b/>
          <w:szCs w:val="24"/>
        </w:rPr>
        <w:t>over $77</w:t>
      </w:r>
      <w:r w:rsidRPr="002A5283">
        <w:rPr>
          <w:rFonts w:asciiTheme="majorHAnsi" w:hAnsiTheme="majorHAnsi"/>
          <w:b/>
          <w:szCs w:val="24"/>
        </w:rPr>
        <w:t>,</w:t>
      </w:r>
      <w:r w:rsidR="00EA145D">
        <w:rPr>
          <w:rFonts w:asciiTheme="majorHAnsi" w:hAnsiTheme="majorHAnsi"/>
          <w:b/>
          <w:szCs w:val="24"/>
        </w:rPr>
        <w:t>7</w:t>
      </w:r>
      <w:r w:rsidRPr="002A5283">
        <w:rPr>
          <w:rFonts w:asciiTheme="majorHAnsi" w:hAnsiTheme="majorHAnsi"/>
          <w:b/>
          <w:szCs w:val="24"/>
        </w:rPr>
        <w:t>00</w:t>
      </w:r>
      <w:r w:rsidRPr="002A5283">
        <w:rPr>
          <w:rFonts w:asciiTheme="majorHAnsi" w:hAnsiTheme="majorHAnsi"/>
          <w:bCs/>
          <w:szCs w:val="24"/>
        </w:rPr>
        <w:t xml:space="preserve">. </w:t>
      </w:r>
    </w:p>
    <w:p w14:paraId="561A2520" w14:textId="43BCBB61" w:rsidR="00EA145D" w:rsidRPr="002A5283" w:rsidRDefault="009C12D4" w:rsidP="0077489A">
      <w:pPr>
        <w:pStyle w:val="ListParagraph"/>
        <w:numPr>
          <w:ilvl w:val="0"/>
          <w:numId w:val="26"/>
        </w:numPr>
        <w:rPr>
          <w:rFonts w:asciiTheme="majorHAnsi" w:hAnsiTheme="majorHAnsi"/>
          <w:bCs/>
          <w:szCs w:val="24"/>
        </w:rPr>
      </w:pPr>
      <w:r>
        <w:rPr>
          <w:rFonts w:asciiTheme="majorHAnsi" w:hAnsiTheme="majorHAnsi"/>
          <w:bCs/>
          <w:szCs w:val="24"/>
        </w:rPr>
        <w:t xml:space="preserve">Seventy percent of employers sought candidates with </w:t>
      </w:r>
      <w:r w:rsidRPr="009C12D4">
        <w:rPr>
          <w:rFonts w:asciiTheme="majorHAnsi" w:hAnsiTheme="majorHAnsi"/>
          <w:b/>
          <w:bCs/>
          <w:szCs w:val="24"/>
        </w:rPr>
        <w:t>three to five years of experience</w:t>
      </w:r>
      <w:r>
        <w:rPr>
          <w:rFonts w:asciiTheme="majorHAnsi" w:hAnsiTheme="majorHAnsi"/>
          <w:bCs/>
          <w:szCs w:val="24"/>
        </w:rPr>
        <w:t>.</w:t>
      </w:r>
    </w:p>
    <w:p w14:paraId="1A80EBC3" w14:textId="77777777" w:rsidR="0077489A" w:rsidRPr="002A5283" w:rsidRDefault="0077489A" w:rsidP="0077489A">
      <w:pPr>
        <w:pStyle w:val="Heading1"/>
        <w:rPr>
          <w:rFonts w:asciiTheme="majorHAnsi" w:hAnsiTheme="majorHAnsi"/>
        </w:rPr>
      </w:pPr>
      <w:r w:rsidRPr="002A5283">
        <w:rPr>
          <w:rFonts w:asciiTheme="majorHAnsi" w:hAnsiTheme="majorHAnsi"/>
        </w:rPr>
        <w:t>Supply:</w:t>
      </w:r>
    </w:p>
    <w:p w14:paraId="517BEFE1" w14:textId="55E34993" w:rsidR="009C12D4" w:rsidRPr="009C12D4" w:rsidRDefault="009C12D4" w:rsidP="009C12D4">
      <w:pPr>
        <w:pStyle w:val="ListParagraph"/>
        <w:numPr>
          <w:ilvl w:val="0"/>
          <w:numId w:val="26"/>
        </w:numPr>
        <w:tabs>
          <w:tab w:val="clear" w:pos="0"/>
        </w:tabs>
        <w:spacing w:after="200"/>
        <w:rPr>
          <w:rFonts w:asciiTheme="majorHAnsi" w:hAnsiTheme="majorHAnsi"/>
          <w:b/>
        </w:rPr>
      </w:pPr>
      <w:r>
        <w:rPr>
          <w:rFonts w:asciiTheme="majorHAnsi" w:hAnsiTheme="majorHAnsi"/>
          <w:b/>
          <w:szCs w:val="24"/>
        </w:rPr>
        <w:t>Two</w:t>
      </w:r>
      <w:r w:rsidR="0077489A" w:rsidRPr="009B2E35">
        <w:rPr>
          <w:rFonts w:asciiTheme="majorHAnsi" w:hAnsiTheme="majorHAnsi"/>
          <w:b/>
          <w:szCs w:val="24"/>
        </w:rPr>
        <w:t xml:space="preserve"> community colleges</w:t>
      </w:r>
      <w:r w:rsidR="0077489A" w:rsidRPr="009B2E35">
        <w:rPr>
          <w:rFonts w:asciiTheme="majorHAnsi" w:hAnsiTheme="majorHAnsi"/>
          <w:szCs w:val="24"/>
        </w:rPr>
        <w:t xml:space="preserve"> in the </w:t>
      </w:r>
      <w:r w:rsidR="002A5283" w:rsidRPr="009B2E35">
        <w:rPr>
          <w:rFonts w:asciiTheme="majorHAnsi" w:hAnsiTheme="majorHAnsi"/>
          <w:szCs w:val="24"/>
        </w:rPr>
        <w:t>state</w:t>
      </w:r>
      <w:r w:rsidR="0077489A" w:rsidRPr="009B2E35">
        <w:rPr>
          <w:rFonts w:asciiTheme="majorHAnsi" w:hAnsiTheme="majorHAnsi"/>
          <w:szCs w:val="24"/>
        </w:rPr>
        <w:t xml:space="preserve"> provide </w:t>
      </w:r>
      <w:r>
        <w:rPr>
          <w:rFonts w:asciiTheme="majorHAnsi" w:hAnsiTheme="majorHAnsi"/>
          <w:szCs w:val="24"/>
        </w:rPr>
        <w:t xml:space="preserve">baccalaureate </w:t>
      </w:r>
      <w:r w:rsidR="0077489A" w:rsidRPr="009B2E35">
        <w:rPr>
          <w:rFonts w:asciiTheme="majorHAnsi" w:hAnsiTheme="majorHAnsi"/>
          <w:szCs w:val="24"/>
        </w:rPr>
        <w:t xml:space="preserve">training programs </w:t>
      </w:r>
      <w:r w:rsidR="002A5283" w:rsidRPr="009B2E35">
        <w:rPr>
          <w:rFonts w:asciiTheme="majorHAnsi" w:hAnsiTheme="majorHAnsi"/>
          <w:szCs w:val="24"/>
        </w:rPr>
        <w:t>related to health information technology</w:t>
      </w:r>
      <w:r w:rsidR="0077489A" w:rsidRPr="009B2E35">
        <w:rPr>
          <w:rFonts w:asciiTheme="majorHAnsi" w:hAnsiTheme="majorHAnsi"/>
          <w:szCs w:val="24"/>
        </w:rPr>
        <w:t xml:space="preserve"> – conferring an average of</w:t>
      </w:r>
      <w:r w:rsidR="0077489A" w:rsidRPr="009B2E35">
        <w:rPr>
          <w:rFonts w:asciiTheme="majorHAnsi" w:hAnsiTheme="majorHAnsi"/>
          <w:b/>
          <w:szCs w:val="24"/>
        </w:rPr>
        <w:t xml:space="preserve"> </w:t>
      </w:r>
      <w:r>
        <w:rPr>
          <w:rFonts w:asciiTheme="majorHAnsi" w:hAnsiTheme="majorHAnsi"/>
          <w:b/>
          <w:szCs w:val="24"/>
        </w:rPr>
        <w:t>31</w:t>
      </w:r>
      <w:r w:rsidR="0077489A" w:rsidRPr="009B2E35">
        <w:rPr>
          <w:rFonts w:asciiTheme="majorHAnsi" w:hAnsiTheme="majorHAnsi"/>
          <w:b/>
          <w:szCs w:val="24"/>
        </w:rPr>
        <w:t xml:space="preserve"> </w:t>
      </w:r>
      <w:r>
        <w:rPr>
          <w:rFonts w:asciiTheme="majorHAnsi" w:hAnsiTheme="majorHAnsi"/>
          <w:b/>
          <w:szCs w:val="24"/>
        </w:rPr>
        <w:t>bachelor’s degrees</w:t>
      </w:r>
      <w:r w:rsidR="0077489A" w:rsidRPr="009B2E35">
        <w:rPr>
          <w:rFonts w:asciiTheme="majorHAnsi" w:hAnsiTheme="majorHAnsi"/>
          <w:b/>
          <w:szCs w:val="24"/>
        </w:rPr>
        <w:t xml:space="preserve"> annually </w:t>
      </w:r>
      <w:r w:rsidR="002A5283" w:rsidRPr="009B2E35">
        <w:rPr>
          <w:rFonts w:asciiTheme="majorHAnsi" w:hAnsiTheme="majorHAnsi"/>
          <w:szCs w:val="24"/>
        </w:rPr>
        <w:t>between 2018 and 2021</w:t>
      </w:r>
      <w:r w:rsidR="0077489A" w:rsidRPr="009B2E35">
        <w:rPr>
          <w:rFonts w:asciiTheme="majorHAnsi" w:hAnsiTheme="majorHAnsi"/>
          <w:szCs w:val="24"/>
        </w:rPr>
        <w:t>.</w:t>
      </w:r>
    </w:p>
    <w:p w14:paraId="1837F7B0" w14:textId="29C1D13B" w:rsidR="009C12D4" w:rsidRPr="009C12D4" w:rsidRDefault="009C12D4" w:rsidP="009C12D4">
      <w:pPr>
        <w:pStyle w:val="ListParagraph"/>
        <w:numPr>
          <w:ilvl w:val="0"/>
          <w:numId w:val="26"/>
        </w:numPr>
        <w:tabs>
          <w:tab w:val="clear" w:pos="0"/>
        </w:tabs>
        <w:spacing w:after="200"/>
        <w:rPr>
          <w:rFonts w:asciiTheme="majorHAnsi" w:hAnsiTheme="majorHAnsi"/>
          <w:b/>
        </w:rPr>
      </w:pPr>
      <w:r>
        <w:rPr>
          <w:rFonts w:asciiTheme="majorHAnsi" w:hAnsiTheme="majorHAnsi"/>
          <w:b/>
          <w:szCs w:val="24"/>
        </w:rPr>
        <w:t xml:space="preserve">Four non-community college institutions </w:t>
      </w:r>
      <w:r>
        <w:rPr>
          <w:rFonts w:asciiTheme="majorHAnsi" w:hAnsiTheme="majorHAnsi"/>
          <w:szCs w:val="24"/>
        </w:rPr>
        <w:t xml:space="preserve">in the state conferred an average of </w:t>
      </w:r>
      <w:r>
        <w:rPr>
          <w:rFonts w:asciiTheme="majorHAnsi" w:hAnsiTheme="majorHAnsi"/>
          <w:b/>
          <w:szCs w:val="24"/>
        </w:rPr>
        <w:t xml:space="preserve">55 bachelor’s degrees annually </w:t>
      </w:r>
      <w:r>
        <w:rPr>
          <w:rFonts w:asciiTheme="majorHAnsi" w:hAnsiTheme="majorHAnsi"/>
          <w:szCs w:val="24"/>
        </w:rPr>
        <w:t>from programs related to public health informatics between 2017 and 2020.</w:t>
      </w:r>
    </w:p>
    <w:p w14:paraId="4DFCC926" w14:textId="3B30DDC9" w:rsidR="00FB2193" w:rsidRPr="009B2E35" w:rsidRDefault="00FB2193" w:rsidP="00192616">
      <w:pPr>
        <w:pStyle w:val="ListParagraph"/>
        <w:numPr>
          <w:ilvl w:val="0"/>
          <w:numId w:val="0"/>
        </w:numPr>
        <w:tabs>
          <w:tab w:val="clear" w:pos="0"/>
        </w:tabs>
        <w:spacing w:after="200"/>
        <w:ind w:left="990"/>
        <w:rPr>
          <w:rFonts w:asciiTheme="majorHAnsi" w:hAnsiTheme="majorHAnsi"/>
          <w:b/>
        </w:rPr>
      </w:pPr>
    </w:p>
    <w:p w14:paraId="2D71695B" w14:textId="77777777" w:rsidR="00192616" w:rsidRDefault="00192616" w:rsidP="00D20747">
      <w:pPr>
        <w:spacing w:after="0"/>
        <w:rPr>
          <w:rFonts w:asciiTheme="majorHAnsi" w:hAnsiTheme="majorHAnsi"/>
          <w:b/>
        </w:rPr>
      </w:pPr>
    </w:p>
    <w:p w14:paraId="70FF6826" w14:textId="77777777" w:rsidR="00192616" w:rsidRDefault="00192616" w:rsidP="00D20747">
      <w:pPr>
        <w:spacing w:after="0"/>
        <w:rPr>
          <w:rFonts w:asciiTheme="majorHAnsi" w:hAnsiTheme="majorHAnsi"/>
          <w:b/>
        </w:rPr>
      </w:pPr>
    </w:p>
    <w:p w14:paraId="64B7D625" w14:textId="659F3EF2" w:rsidR="00192616" w:rsidRDefault="00192616" w:rsidP="00D20747">
      <w:pPr>
        <w:spacing w:after="0"/>
        <w:rPr>
          <w:rFonts w:asciiTheme="majorHAnsi" w:hAnsiTheme="majorHAnsi"/>
          <w:b/>
        </w:rPr>
      </w:pPr>
    </w:p>
    <w:p w14:paraId="293EA69A" w14:textId="4B6C0BEA" w:rsidR="004A5B15" w:rsidRDefault="004A5B15" w:rsidP="00D20747">
      <w:pPr>
        <w:spacing w:after="0"/>
        <w:rPr>
          <w:rFonts w:asciiTheme="majorHAnsi" w:hAnsiTheme="majorHAnsi"/>
          <w:b/>
        </w:rPr>
      </w:pPr>
    </w:p>
    <w:p w14:paraId="0B11F012" w14:textId="77777777" w:rsidR="004A5B15" w:rsidRDefault="004A5B15" w:rsidP="00D20747">
      <w:pPr>
        <w:spacing w:after="0"/>
        <w:rPr>
          <w:rFonts w:asciiTheme="majorHAnsi" w:hAnsiTheme="majorHAnsi"/>
          <w:b/>
        </w:rPr>
      </w:pPr>
    </w:p>
    <w:p w14:paraId="169370E9" w14:textId="77777777" w:rsidR="00192616" w:rsidRDefault="00192616" w:rsidP="00D20747">
      <w:pPr>
        <w:spacing w:after="0"/>
        <w:rPr>
          <w:rFonts w:asciiTheme="majorHAnsi" w:hAnsiTheme="majorHAnsi"/>
          <w:b/>
        </w:rPr>
      </w:pPr>
    </w:p>
    <w:p w14:paraId="31D70F10" w14:textId="64C5E29C" w:rsidR="00D20747" w:rsidRDefault="00D20747" w:rsidP="004A5B15">
      <w:pPr>
        <w:pStyle w:val="Heading1"/>
      </w:pPr>
      <w:r>
        <w:t>Job Postings</w:t>
      </w:r>
      <w:r w:rsidRPr="004A08C8">
        <w:t xml:space="preserve"> </w:t>
      </w:r>
    </w:p>
    <w:p w14:paraId="63C65856" w14:textId="4FB53341" w:rsidR="00D20747" w:rsidRDefault="00D20747" w:rsidP="0077489A">
      <w:pPr>
        <w:rPr>
          <w:rFonts w:asciiTheme="majorHAnsi" w:hAnsiTheme="majorHAnsi"/>
          <w:b/>
        </w:rPr>
      </w:pPr>
      <w:r w:rsidRPr="004A08C8">
        <w:rPr>
          <w:rFonts w:asciiTheme="majorHAnsi" w:hAnsiTheme="majorHAnsi"/>
          <w:bCs/>
        </w:rPr>
        <w:t>The following section show</w:t>
      </w:r>
      <w:r w:rsidR="009B2E35">
        <w:rPr>
          <w:rFonts w:asciiTheme="majorHAnsi" w:hAnsiTheme="majorHAnsi"/>
          <w:bCs/>
        </w:rPr>
        <w:t>s</w:t>
      </w:r>
      <w:r w:rsidRPr="004A08C8">
        <w:rPr>
          <w:rFonts w:asciiTheme="majorHAnsi" w:hAnsiTheme="majorHAnsi"/>
          <w:bCs/>
        </w:rPr>
        <w:t xml:space="preserve"> how the job posting search was conducted using the key words “</w:t>
      </w:r>
      <w:r>
        <w:rPr>
          <w:rFonts w:asciiTheme="majorHAnsi" w:hAnsiTheme="majorHAnsi"/>
          <w:bCs/>
        </w:rPr>
        <w:t>public health informatics,</w:t>
      </w:r>
      <w:r w:rsidRPr="004A08C8">
        <w:rPr>
          <w:rFonts w:asciiTheme="majorHAnsi" w:hAnsiTheme="majorHAnsi"/>
          <w:bCs/>
        </w:rPr>
        <w:t xml:space="preserve">” </w:t>
      </w:r>
      <w:r>
        <w:rPr>
          <w:rFonts w:asciiTheme="majorHAnsi" w:hAnsiTheme="majorHAnsi"/>
          <w:bCs/>
        </w:rPr>
        <w:t xml:space="preserve">“public health data analyst,” “epidemiology data analyst,” and the more general “public health research.” Please note that results were </w:t>
      </w:r>
      <w:r w:rsidR="009B2E35">
        <w:rPr>
          <w:rFonts w:asciiTheme="majorHAnsi" w:hAnsiTheme="majorHAnsi"/>
          <w:bCs/>
        </w:rPr>
        <w:t xml:space="preserve">filtered </w:t>
      </w:r>
      <w:r w:rsidR="008C367C">
        <w:rPr>
          <w:rFonts w:asciiTheme="majorHAnsi" w:hAnsiTheme="majorHAnsi"/>
          <w:bCs/>
        </w:rPr>
        <w:t xml:space="preserve">to </w:t>
      </w:r>
      <w:r w:rsidR="009B2E35">
        <w:rPr>
          <w:rFonts w:asciiTheme="majorHAnsi" w:hAnsiTheme="majorHAnsi"/>
          <w:bCs/>
        </w:rPr>
        <w:t xml:space="preserve">limit </w:t>
      </w:r>
      <w:r w:rsidR="008C367C">
        <w:rPr>
          <w:rFonts w:asciiTheme="majorHAnsi" w:hAnsiTheme="majorHAnsi"/>
          <w:bCs/>
        </w:rPr>
        <w:t xml:space="preserve">job postings </w:t>
      </w:r>
      <w:r w:rsidR="009B2E35">
        <w:rPr>
          <w:rFonts w:asciiTheme="majorHAnsi" w:hAnsiTheme="majorHAnsi"/>
          <w:bCs/>
        </w:rPr>
        <w:t xml:space="preserve">only to those that </w:t>
      </w:r>
      <w:r w:rsidR="008C367C">
        <w:rPr>
          <w:rFonts w:asciiTheme="majorHAnsi" w:hAnsiTheme="majorHAnsi"/>
          <w:bCs/>
        </w:rPr>
        <w:t>require</w:t>
      </w:r>
      <w:r>
        <w:rPr>
          <w:rFonts w:asciiTheme="majorHAnsi" w:hAnsiTheme="majorHAnsi"/>
          <w:bCs/>
        </w:rPr>
        <w:t xml:space="preserve"> a bachelor’s degree or less.</w:t>
      </w:r>
    </w:p>
    <w:p w14:paraId="1B16B3B6" w14:textId="355718CA" w:rsidR="00D20747" w:rsidRDefault="009E110E" w:rsidP="0077489A">
      <w:pPr>
        <w:rPr>
          <w:rFonts w:asciiTheme="majorHAnsi" w:hAnsiTheme="majorHAnsi"/>
        </w:rPr>
      </w:pPr>
      <w:r>
        <w:rPr>
          <w:rFonts w:asciiTheme="majorHAnsi" w:hAnsiTheme="majorHAnsi"/>
        </w:rPr>
        <w:t xml:space="preserve">From a historical perspective, PHIT-related job postings have experienced </w:t>
      </w:r>
      <w:r w:rsidR="00A47BD3">
        <w:rPr>
          <w:rFonts w:asciiTheme="majorHAnsi" w:hAnsiTheme="majorHAnsi"/>
        </w:rPr>
        <w:t>record</w:t>
      </w:r>
      <w:r>
        <w:rPr>
          <w:rFonts w:asciiTheme="majorHAnsi" w:hAnsiTheme="majorHAnsi"/>
        </w:rPr>
        <w:t xml:space="preserve"> growth. </w:t>
      </w:r>
      <w:r w:rsidR="00D20747">
        <w:rPr>
          <w:rFonts w:asciiTheme="majorHAnsi" w:hAnsiTheme="majorHAnsi"/>
        </w:rPr>
        <w:t xml:space="preserve">Exhibit 1 displays the number of annual job postings that fit the criteria above, dating back to </w:t>
      </w:r>
      <w:r>
        <w:rPr>
          <w:rFonts w:asciiTheme="majorHAnsi" w:hAnsiTheme="majorHAnsi"/>
        </w:rPr>
        <w:t>2012</w:t>
      </w:r>
      <w:r w:rsidR="00D20747">
        <w:rPr>
          <w:rFonts w:asciiTheme="majorHAnsi" w:hAnsiTheme="majorHAnsi"/>
        </w:rPr>
        <w:t xml:space="preserve">. </w:t>
      </w:r>
      <w:r w:rsidR="00A47BD3">
        <w:rPr>
          <w:rFonts w:asciiTheme="majorHAnsi" w:hAnsiTheme="majorHAnsi"/>
        </w:rPr>
        <w:t>In the last decade, t</w:t>
      </w:r>
      <w:r w:rsidR="00D20747">
        <w:rPr>
          <w:rFonts w:asciiTheme="majorHAnsi" w:hAnsiTheme="majorHAnsi"/>
        </w:rPr>
        <w:t xml:space="preserve">he </w:t>
      </w:r>
      <w:r>
        <w:rPr>
          <w:rFonts w:asciiTheme="majorHAnsi" w:hAnsiTheme="majorHAnsi"/>
        </w:rPr>
        <w:t xml:space="preserve">number of </w:t>
      </w:r>
      <w:r w:rsidR="00A47BD3">
        <w:rPr>
          <w:rFonts w:asciiTheme="majorHAnsi" w:hAnsiTheme="majorHAnsi"/>
        </w:rPr>
        <w:t xml:space="preserve">annual </w:t>
      </w:r>
      <w:r w:rsidR="00D20747">
        <w:rPr>
          <w:rFonts w:asciiTheme="majorHAnsi" w:hAnsiTheme="majorHAnsi"/>
        </w:rPr>
        <w:t xml:space="preserve">PHIT job postings have </w:t>
      </w:r>
      <w:r w:rsidR="004B4A19">
        <w:rPr>
          <w:rFonts w:asciiTheme="majorHAnsi" w:hAnsiTheme="majorHAnsi"/>
        </w:rPr>
        <w:t>more than doubled.</w:t>
      </w:r>
      <w:r w:rsidR="00D20747">
        <w:rPr>
          <w:rFonts w:asciiTheme="majorHAnsi" w:hAnsiTheme="majorHAnsi"/>
        </w:rPr>
        <w:t xml:space="preserve"> </w:t>
      </w:r>
      <w:r>
        <w:rPr>
          <w:rFonts w:asciiTheme="majorHAnsi" w:hAnsiTheme="majorHAnsi"/>
        </w:rPr>
        <w:t xml:space="preserve">Year to year, </w:t>
      </w:r>
      <w:r w:rsidR="00A47BD3">
        <w:rPr>
          <w:rFonts w:asciiTheme="majorHAnsi" w:hAnsiTheme="majorHAnsi"/>
        </w:rPr>
        <w:t>the increa</w:t>
      </w:r>
      <w:r w:rsidR="004B4A19">
        <w:rPr>
          <w:rFonts w:asciiTheme="majorHAnsi" w:hAnsiTheme="majorHAnsi"/>
        </w:rPr>
        <w:t xml:space="preserve">se in job postings </w:t>
      </w:r>
      <w:r w:rsidR="00354BEC">
        <w:rPr>
          <w:rFonts w:asciiTheme="majorHAnsi" w:hAnsiTheme="majorHAnsi"/>
        </w:rPr>
        <w:t>has been</w:t>
      </w:r>
      <w:r w:rsidR="004B4A19">
        <w:rPr>
          <w:rFonts w:asciiTheme="majorHAnsi" w:hAnsiTheme="majorHAnsi"/>
        </w:rPr>
        <w:t xml:space="preserve"> gradual with the largest increases </w:t>
      </w:r>
      <w:r w:rsidR="00354BEC">
        <w:rPr>
          <w:rFonts w:asciiTheme="majorHAnsi" w:hAnsiTheme="majorHAnsi"/>
        </w:rPr>
        <w:t xml:space="preserve">coming </w:t>
      </w:r>
      <w:r w:rsidR="004B4A19">
        <w:rPr>
          <w:rFonts w:asciiTheme="majorHAnsi" w:hAnsiTheme="majorHAnsi"/>
        </w:rPr>
        <w:t>from 2014 to 2015 and 2017 to 2018.</w:t>
      </w:r>
    </w:p>
    <w:p w14:paraId="16914033" w14:textId="32773BB6" w:rsidR="00D20747" w:rsidRDefault="00D20747" w:rsidP="00D20747">
      <w:pPr>
        <w:spacing w:after="0"/>
        <w:jc w:val="center"/>
        <w:rPr>
          <w:rFonts w:asciiTheme="majorHAnsi" w:hAnsiTheme="majorHAnsi"/>
          <w:b/>
        </w:rPr>
      </w:pPr>
      <w:r w:rsidRPr="00D20747">
        <w:rPr>
          <w:rFonts w:asciiTheme="majorHAnsi" w:hAnsiTheme="majorHAnsi"/>
          <w:b/>
        </w:rPr>
        <w:t>Exhibit 1:</w:t>
      </w:r>
      <w:r w:rsidR="00E94014">
        <w:rPr>
          <w:rFonts w:asciiTheme="majorHAnsi" w:hAnsiTheme="majorHAnsi"/>
          <w:b/>
        </w:rPr>
        <w:t xml:space="preserve"> PHIT job postings by year, 2012-2022*</w:t>
      </w:r>
    </w:p>
    <w:p w14:paraId="7ABD738C" w14:textId="0ED060EA" w:rsidR="000C1690" w:rsidRDefault="004B4A19" w:rsidP="004B4A19">
      <w:pPr>
        <w:spacing w:after="0"/>
        <w:jc w:val="center"/>
        <w:rPr>
          <w:rFonts w:asciiTheme="majorHAnsi" w:hAnsiTheme="majorHAnsi"/>
          <w:b/>
        </w:rPr>
      </w:pPr>
      <w:r>
        <w:rPr>
          <w:noProof/>
        </w:rPr>
        <w:drawing>
          <wp:inline distT="0" distB="0" distL="0" distR="0" wp14:anchorId="4FE799BD" wp14:editId="1BB68B03">
            <wp:extent cx="5943600" cy="190627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3C34C7" w14:textId="402B17EC" w:rsidR="0036261D" w:rsidRPr="0036261D" w:rsidRDefault="0036261D" w:rsidP="0077489A">
      <w:pPr>
        <w:rPr>
          <w:rFonts w:asciiTheme="majorHAnsi" w:hAnsiTheme="majorHAnsi"/>
          <w:i/>
          <w:sz w:val="22"/>
        </w:rPr>
      </w:pPr>
      <w:r w:rsidRPr="0036261D">
        <w:rPr>
          <w:rFonts w:asciiTheme="majorHAnsi" w:hAnsiTheme="majorHAnsi"/>
          <w:i/>
          <w:sz w:val="22"/>
        </w:rPr>
        <w:t xml:space="preserve">*2022 job postings span 8 </w:t>
      </w:r>
      <w:r w:rsidR="00E94014">
        <w:rPr>
          <w:rFonts w:asciiTheme="majorHAnsi" w:hAnsiTheme="majorHAnsi"/>
          <w:i/>
          <w:sz w:val="22"/>
        </w:rPr>
        <w:t xml:space="preserve">full </w:t>
      </w:r>
      <w:r w:rsidRPr="0036261D">
        <w:rPr>
          <w:rFonts w:asciiTheme="majorHAnsi" w:hAnsiTheme="majorHAnsi"/>
          <w:i/>
          <w:sz w:val="22"/>
        </w:rPr>
        <w:t>months (January 1 through August 31, 2022)</w:t>
      </w:r>
    </w:p>
    <w:p w14:paraId="54EDBA63" w14:textId="7946F96F" w:rsidR="00192616" w:rsidRPr="00192616" w:rsidRDefault="00192616" w:rsidP="004A5B15">
      <w:pPr>
        <w:pStyle w:val="Heading1"/>
      </w:pPr>
      <w:r w:rsidRPr="00192616">
        <w:t>Job Titles</w:t>
      </w:r>
    </w:p>
    <w:p w14:paraId="2D7BB027" w14:textId="5B0B6451" w:rsidR="00FB2193" w:rsidRDefault="009B2E35" w:rsidP="0077489A">
      <w:pPr>
        <w:rPr>
          <w:rFonts w:asciiTheme="majorHAnsi" w:hAnsiTheme="majorHAnsi"/>
          <w:bCs/>
        </w:rPr>
      </w:pPr>
      <w:r>
        <w:rPr>
          <w:rFonts w:asciiTheme="majorHAnsi" w:hAnsiTheme="majorHAnsi"/>
          <w:bCs/>
        </w:rPr>
        <w:t xml:space="preserve">During the </w:t>
      </w:r>
      <w:r w:rsidR="00A47BD3">
        <w:rPr>
          <w:rFonts w:asciiTheme="majorHAnsi" w:hAnsiTheme="majorHAnsi"/>
          <w:bCs/>
        </w:rPr>
        <w:t xml:space="preserve">most recent </w:t>
      </w:r>
      <w:r>
        <w:rPr>
          <w:rFonts w:asciiTheme="majorHAnsi" w:hAnsiTheme="majorHAnsi"/>
          <w:bCs/>
        </w:rPr>
        <w:t>12-month period</w:t>
      </w:r>
      <w:r w:rsidR="009E110E">
        <w:rPr>
          <w:rFonts w:asciiTheme="majorHAnsi" w:hAnsiTheme="majorHAnsi"/>
          <w:bCs/>
        </w:rPr>
        <w:t xml:space="preserve"> analyzed</w:t>
      </w:r>
      <w:r w:rsidR="0082581F">
        <w:rPr>
          <w:rFonts w:asciiTheme="majorHAnsi" w:hAnsiTheme="majorHAnsi"/>
          <w:bCs/>
        </w:rPr>
        <w:t>,</w:t>
      </w:r>
      <w:r w:rsidR="00A47BD3">
        <w:rPr>
          <w:rStyle w:val="FootnoteReference"/>
          <w:rFonts w:asciiTheme="majorHAnsi" w:hAnsiTheme="majorHAnsi"/>
          <w:bCs/>
        </w:rPr>
        <w:footnoteReference w:id="3"/>
      </w:r>
      <w:r w:rsidR="0082581F">
        <w:rPr>
          <w:rFonts w:asciiTheme="majorHAnsi" w:hAnsiTheme="majorHAnsi"/>
          <w:bCs/>
        </w:rPr>
        <w:t xml:space="preserve"> there were </w:t>
      </w:r>
      <w:r w:rsidR="004B4A19">
        <w:rPr>
          <w:rFonts w:asciiTheme="majorHAnsi" w:hAnsiTheme="majorHAnsi"/>
          <w:b/>
          <w:bCs/>
        </w:rPr>
        <w:t>130</w:t>
      </w:r>
      <w:r w:rsidR="0082581F">
        <w:rPr>
          <w:rFonts w:asciiTheme="majorHAnsi" w:hAnsiTheme="majorHAnsi"/>
          <w:b/>
          <w:bCs/>
        </w:rPr>
        <w:t xml:space="preserve"> online job postings</w:t>
      </w:r>
      <w:r w:rsidR="0082581F">
        <w:rPr>
          <w:rFonts w:asciiTheme="majorHAnsi" w:hAnsiTheme="majorHAnsi"/>
          <w:bCs/>
        </w:rPr>
        <w:t xml:space="preserve"> that matched the search parameters. </w:t>
      </w:r>
      <w:r w:rsidR="00A24474">
        <w:rPr>
          <w:rFonts w:asciiTheme="majorHAnsi" w:hAnsiTheme="majorHAnsi"/>
          <w:bCs/>
        </w:rPr>
        <w:t xml:space="preserve">Job titles most frequently contained </w:t>
      </w:r>
      <w:r w:rsidR="000D7AAF">
        <w:rPr>
          <w:rFonts w:asciiTheme="majorHAnsi" w:hAnsiTheme="majorHAnsi"/>
          <w:bCs/>
        </w:rPr>
        <w:t xml:space="preserve">the term </w:t>
      </w:r>
      <w:r w:rsidR="008C367C">
        <w:rPr>
          <w:rFonts w:asciiTheme="majorHAnsi" w:hAnsiTheme="majorHAnsi"/>
          <w:bCs/>
        </w:rPr>
        <w:t>“</w:t>
      </w:r>
      <w:r w:rsidR="008C367C" w:rsidRPr="00084ABC">
        <w:rPr>
          <w:rFonts w:asciiTheme="majorHAnsi" w:hAnsiTheme="majorHAnsi"/>
          <w:bCs/>
        </w:rPr>
        <w:t>h</w:t>
      </w:r>
      <w:r w:rsidR="00A24474" w:rsidRPr="00084ABC">
        <w:rPr>
          <w:rFonts w:asciiTheme="majorHAnsi" w:hAnsiTheme="majorHAnsi"/>
          <w:bCs/>
        </w:rPr>
        <w:t xml:space="preserve">ealth </w:t>
      </w:r>
      <w:r w:rsidR="008C367C" w:rsidRPr="00084ABC">
        <w:rPr>
          <w:rFonts w:asciiTheme="majorHAnsi" w:hAnsiTheme="majorHAnsi"/>
          <w:bCs/>
        </w:rPr>
        <w:t>i</w:t>
      </w:r>
      <w:r w:rsidR="00A24474" w:rsidRPr="00084ABC">
        <w:rPr>
          <w:rFonts w:asciiTheme="majorHAnsi" w:hAnsiTheme="majorHAnsi"/>
          <w:bCs/>
        </w:rPr>
        <w:t>nformatics</w:t>
      </w:r>
      <w:r w:rsidR="00A24474">
        <w:rPr>
          <w:rFonts w:asciiTheme="majorHAnsi" w:hAnsiTheme="majorHAnsi"/>
          <w:bCs/>
        </w:rPr>
        <w:t xml:space="preserve">” followed by “consultant,” “analyst,” and </w:t>
      </w:r>
      <w:r w:rsidR="006B241F">
        <w:rPr>
          <w:rFonts w:asciiTheme="majorHAnsi" w:hAnsiTheme="majorHAnsi"/>
          <w:bCs/>
        </w:rPr>
        <w:t>“specialist” “coordinator</w:t>
      </w:r>
      <w:r w:rsidR="00A24474">
        <w:rPr>
          <w:rFonts w:asciiTheme="majorHAnsi" w:hAnsiTheme="majorHAnsi"/>
          <w:bCs/>
        </w:rPr>
        <w:t xml:space="preserve">” </w:t>
      </w:r>
      <w:r w:rsidR="006B241F">
        <w:rPr>
          <w:rFonts w:asciiTheme="majorHAnsi" w:hAnsiTheme="majorHAnsi"/>
          <w:bCs/>
        </w:rPr>
        <w:t xml:space="preserve">or “manager.” </w:t>
      </w:r>
      <w:r w:rsidR="00A24474">
        <w:rPr>
          <w:rFonts w:asciiTheme="majorHAnsi" w:hAnsiTheme="majorHAnsi"/>
          <w:bCs/>
        </w:rPr>
        <w:t xml:space="preserve">Out of the </w:t>
      </w:r>
      <w:r w:rsidR="006B241F">
        <w:rPr>
          <w:rFonts w:asciiTheme="majorHAnsi" w:hAnsiTheme="majorHAnsi"/>
          <w:bCs/>
        </w:rPr>
        <w:t>84</w:t>
      </w:r>
      <w:r w:rsidR="00A24474">
        <w:rPr>
          <w:rFonts w:asciiTheme="majorHAnsi" w:hAnsiTheme="majorHAnsi"/>
          <w:bCs/>
        </w:rPr>
        <w:t xml:space="preserve"> job postings that </w:t>
      </w:r>
      <w:r w:rsidR="008C367C">
        <w:rPr>
          <w:rFonts w:asciiTheme="majorHAnsi" w:hAnsiTheme="majorHAnsi"/>
          <w:bCs/>
        </w:rPr>
        <w:t>contained “health i</w:t>
      </w:r>
      <w:r w:rsidR="00A24474">
        <w:rPr>
          <w:rFonts w:asciiTheme="majorHAnsi" w:hAnsiTheme="majorHAnsi"/>
          <w:bCs/>
        </w:rPr>
        <w:t xml:space="preserve">nformatics,” </w:t>
      </w:r>
      <w:r w:rsidR="000D7AAF">
        <w:rPr>
          <w:rFonts w:asciiTheme="majorHAnsi" w:hAnsiTheme="majorHAnsi"/>
          <w:bCs/>
        </w:rPr>
        <w:t xml:space="preserve">all but </w:t>
      </w:r>
      <w:r w:rsidR="006B241F">
        <w:rPr>
          <w:rFonts w:asciiTheme="majorHAnsi" w:hAnsiTheme="majorHAnsi"/>
          <w:bCs/>
        </w:rPr>
        <w:t>two</w:t>
      </w:r>
      <w:r w:rsidR="00A24474">
        <w:rPr>
          <w:rFonts w:asciiTheme="majorHAnsi" w:hAnsiTheme="majorHAnsi"/>
          <w:bCs/>
        </w:rPr>
        <w:t xml:space="preserve"> contained one of the qualifier terms shown in italics.</w:t>
      </w:r>
      <w:r w:rsidR="00990111">
        <w:rPr>
          <w:rFonts w:asciiTheme="majorHAnsi" w:hAnsiTheme="majorHAnsi"/>
          <w:bCs/>
        </w:rPr>
        <w:t xml:space="preserve"> The most frequently sought role among the </w:t>
      </w:r>
      <w:r w:rsidR="006B241F">
        <w:rPr>
          <w:rFonts w:asciiTheme="majorHAnsi" w:hAnsiTheme="majorHAnsi"/>
          <w:bCs/>
        </w:rPr>
        <w:t>130</w:t>
      </w:r>
      <w:r w:rsidR="00990111">
        <w:rPr>
          <w:rFonts w:asciiTheme="majorHAnsi" w:hAnsiTheme="majorHAnsi"/>
          <w:bCs/>
        </w:rPr>
        <w:t xml:space="preserve"> job postings was health informatics consultant</w:t>
      </w:r>
      <w:r w:rsidR="008C367C">
        <w:rPr>
          <w:rFonts w:asciiTheme="majorHAnsi" w:hAnsiTheme="majorHAnsi"/>
          <w:bCs/>
        </w:rPr>
        <w:t xml:space="preserve"> </w:t>
      </w:r>
      <w:r w:rsidR="006B241F">
        <w:rPr>
          <w:rFonts w:asciiTheme="majorHAnsi" w:hAnsiTheme="majorHAnsi"/>
          <w:bCs/>
        </w:rPr>
        <w:t>(46</w:t>
      </w:r>
      <w:r w:rsidR="008C367C">
        <w:rPr>
          <w:rFonts w:asciiTheme="majorHAnsi" w:hAnsiTheme="majorHAnsi"/>
          <w:bCs/>
        </w:rPr>
        <w:t xml:space="preserve"> job ads)</w:t>
      </w:r>
      <w:r w:rsidR="00990111">
        <w:rPr>
          <w:rFonts w:asciiTheme="majorHAnsi" w:hAnsiTheme="majorHAnsi"/>
          <w:bCs/>
        </w:rPr>
        <w:t xml:space="preserve">, </w:t>
      </w:r>
      <w:r w:rsidR="006B241F">
        <w:rPr>
          <w:rFonts w:asciiTheme="majorHAnsi" w:hAnsiTheme="majorHAnsi"/>
          <w:bCs/>
        </w:rPr>
        <w:t>posted by Anthem Blue Cross. These postings accounted for over one-third</w:t>
      </w:r>
      <w:r w:rsidR="00990111">
        <w:rPr>
          <w:rFonts w:asciiTheme="majorHAnsi" w:hAnsiTheme="majorHAnsi"/>
          <w:bCs/>
        </w:rPr>
        <w:t xml:space="preserve"> of all PHIT job postings in California over the last twelve months</w:t>
      </w:r>
      <w:r w:rsidR="006B241F">
        <w:rPr>
          <w:rFonts w:asciiTheme="majorHAnsi" w:hAnsiTheme="majorHAnsi"/>
          <w:bCs/>
        </w:rPr>
        <w:t xml:space="preserve"> (see E</w:t>
      </w:r>
      <w:r w:rsidR="00D20747">
        <w:rPr>
          <w:rFonts w:asciiTheme="majorHAnsi" w:hAnsiTheme="majorHAnsi"/>
          <w:bCs/>
        </w:rPr>
        <w:t>xhibit 2)</w:t>
      </w:r>
      <w:r w:rsidR="00990111">
        <w:rPr>
          <w:rFonts w:asciiTheme="majorHAnsi" w:hAnsiTheme="majorHAnsi"/>
          <w:bCs/>
        </w:rPr>
        <w:t>.</w:t>
      </w:r>
    </w:p>
    <w:p w14:paraId="1394C496" w14:textId="624AE241" w:rsidR="00151892" w:rsidRPr="00A24474" w:rsidRDefault="00A24474" w:rsidP="00A24474">
      <w:pPr>
        <w:spacing w:after="0"/>
        <w:jc w:val="center"/>
        <w:rPr>
          <w:rFonts w:asciiTheme="majorHAnsi" w:hAnsiTheme="majorHAnsi"/>
          <w:b/>
          <w:bCs/>
        </w:rPr>
      </w:pPr>
      <w:r w:rsidRPr="00A24474">
        <w:rPr>
          <w:rFonts w:asciiTheme="majorHAnsi" w:hAnsiTheme="majorHAnsi"/>
          <w:b/>
          <w:bCs/>
        </w:rPr>
        <w:t xml:space="preserve">Exhibit </w:t>
      </w:r>
      <w:r w:rsidR="00D20747">
        <w:rPr>
          <w:rFonts w:asciiTheme="majorHAnsi" w:hAnsiTheme="majorHAnsi"/>
          <w:b/>
          <w:bCs/>
        </w:rPr>
        <w:t>2</w:t>
      </w:r>
      <w:r w:rsidR="002A5283">
        <w:rPr>
          <w:rFonts w:asciiTheme="majorHAnsi" w:hAnsiTheme="majorHAnsi"/>
          <w:b/>
          <w:bCs/>
        </w:rPr>
        <w:t>: PHIT job t</w:t>
      </w:r>
      <w:r w:rsidRPr="00A24474">
        <w:rPr>
          <w:rFonts w:asciiTheme="majorHAnsi" w:hAnsiTheme="majorHAnsi"/>
          <w:b/>
          <w:bCs/>
        </w:rPr>
        <w:t>itles from online job postings</w:t>
      </w:r>
    </w:p>
    <w:tbl>
      <w:tblPr>
        <w:tblW w:w="0" w:type="auto"/>
        <w:jc w:val="center"/>
        <w:tblLook w:val="04A0" w:firstRow="1" w:lastRow="0" w:firstColumn="1" w:lastColumn="0" w:noHBand="0" w:noVBand="1"/>
      </w:tblPr>
      <w:tblGrid>
        <w:gridCol w:w="4860"/>
        <w:gridCol w:w="1661"/>
      </w:tblGrid>
      <w:tr w:rsidR="00151892" w:rsidRPr="00D32C3B" w14:paraId="38BE7E77" w14:textId="77777777" w:rsidTr="00151892">
        <w:trPr>
          <w:trHeight w:val="792"/>
          <w:tblHeader/>
          <w:jc w:val="center"/>
        </w:trPr>
        <w:tc>
          <w:tcPr>
            <w:tcW w:w="4860" w:type="dxa"/>
            <w:tcBorders>
              <w:bottom w:val="single" w:sz="4" w:space="0" w:color="A9A9A9" w:themeColor="accent5"/>
            </w:tcBorders>
            <w:shd w:val="clear" w:color="auto" w:fill="E0EE7C" w:themeFill="accent3" w:themeFillTint="66"/>
            <w:vAlign w:val="center"/>
            <w:hideMark/>
          </w:tcPr>
          <w:p w14:paraId="5C192F8C" w14:textId="671AE0A3" w:rsidR="00151892" w:rsidRPr="00D64823" w:rsidRDefault="00151892" w:rsidP="004037FA">
            <w:pPr>
              <w:pStyle w:val="TableColumnTitles"/>
              <w:jc w:val="left"/>
              <w:rPr>
                <w:szCs w:val="24"/>
              </w:rPr>
            </w:pPr>
            <w:r>
              <w:rPr>
                <w:szCs w:val="24"/>
              </w:rPr>
              <w:t xml:space="preserve">Job Title </w:t>
            </w:r>
          </w:p>
        </w:tc>
        <w:tc>
          <w:tcPr>
            <w:tcW w:w="1661" w:type="dxa"/>
            <w:tcBorders>
              <w:bottom w:val="single" w:sz="4" w:space="0" w:color="A9A9A9" w:themeColor="accent5"/>
            </w:tcBorders>
            <w:shd w:val="clear" w:color="auto" w:fill="E0EE7C" w:themeFill="accent3" w:themeFillTint="66"/>
            <w:vAlign w:val="center"/>
            <w:hideMark/>
          </w:tcPr>
          <w:p w14:paraId="7725AFE2" w14:textId="68B1E302" w:rsidR="00151892" w:rsidRPr="00D64823" w:rsidRDefault="00151892" w:rsidP="004037FA">
            <w:pPr>
              <w:pStyle w:val="TableColumnTitles"/>
              <w:rPr>
                <w:szCs w:val="24"/>
              </w:rPr>
            </w:pPr>
            <w:r>
              <w:rPr>
                <w:szCs w:val="24"/>
              </w:rPr>
              <w:t>Number of Job Postings</w:t>
            </w:r>
          </w:p>
        </w:tc>
      </w:tr>
      <w:tr w:rsidR="00151892" w:rsidRPr="00D32C3B" w14:paraId="145E30D9"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hideMark/>
          </w:tcPr>
          <w:p w14:paraId="7F0678D0" w14:textId="13B5CE16" w:rsidR="00151892" w:rsidRPr="00151892" w:rsidRDefault="00151892" w:rsidP="004037FA">
            <w:pPr>
              <w:spacing w:after="0"/>
              <w:rPr>
                <w:b/>
              </w:rPr>
            </w:pPr>
            <w:r w:rsidRPr="00151892">
              <w:rPr>
                <w:rFonts w:asciiTheme="majorHAnsi" w:hAnsiTheme="majorHAnsi" w:cs="Arial"/>
                <w:b/>
              </w:rPr>
              <w:t xml:space="preserve">Health Informatics </w:t>
            </w:r>
          </w:p>
        </w:tc>
        <w:tc>
          <w:tcPr>
            <w:tcW w:w="1661" w:type="dxa"/>
            <w:tcBorders>
              <w:top w:val="single" w:sz="4" w:space="0" w:color="A9A9A9" w:themeColor="accent5"/>
              <w:bottom w:val="single" w:sz="4" w:space="0" w:color="A9A9A9" w:themeColor="accent5"/>
            </w:tcBorders>
            <w:shd w:val="clear" w:color="auto" w:fill="auto"/>
            <w:vAlign w:val="center"/>
          </w:tcPr>
          <w:p w14:paraId="3655BEBF" w14:textId="2CB73AA6" w:rsidR="00151892" w:rsidRPr="00151892" w:rsidRDefault="00084ABC" w:rsidP="004037FA">
            <w:pPr>
              <w:spacing w:after="0"/>
              <w:jc w:val="center"/>
              <w:rPr>
                <w:rFonts w:asciiTheme="majorHAnsi" w:eastAsia="Times New Roman" w:hAnsiTheme="majorHAnsi" w:cs="Calibri"/>
                <w:b/>
              </w:rPr>
            </w:pPr>
            <w:r>
              <w:rPr>
                <w:rFonts w:asciiTheme="majorHAnsi" w:eastAsia="Times New Roman" w:hAnsiTheme="majorHAnsi" w:cs="Calibri"/>
                <w:b/>
              </w:rPr>
              <w:t>84</w:t>
            </w:r>
          </w:p>
        </w:tc>
      </w:tr>
      <w:tr w:rsidR="00151892" w:rsidRPr="00D32C3B" w14:paraId="038BA9C8"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2A8A1213" w14:textId="39826E47" w:rsidR="00151892" w:rsidRPr="00151892" w:rsidRDefault="00151892" w:rsidP="00151892">
            <w:pPr>
              <w:spacing w:after="0"/>
              <w:ind w:left="720"/>
              <w:rPr>
                <w:rFonts w:asciiTheme="majorHAnsi" w:hAnsiTheme="majorHAnsi" w:cs="Arial"/>
                <w:i/>
              </w:rPr>
            </w:pPr>
            <w:r>
              <w:rPr>
                <w:rFonts w:asciiTheme="majorHAnsi" w:hAnsiTheme="majorHAnsi" w:cs="Arial"/>
              </w:rPr>
              <w:t xml:space="preserve">Also </w:t>
            </w:r>
            <w:r w:rsidRPr="00151892">
              <w:rPr>
                <w:rFonts w:asciiTheme="majorHAnsi" w:hAnsiTheme="majorHAnsi" w:cs="Arial"/>
              </w:rPr>
              <w:t>contains</w:t>
            </w:r>
            <w:r>
              <w:rPr>
                <w:rFonts w:asciiTheme="majorHAnsi" w:hAnsiTheme="majorHAnsi" w:cs="Arial"/>
                <w:i/>
              </w:rPr>
              <w:t xml:space="preserve"> “Consultant”</w:t>
            </w:r>
          </w:p>
        </w:tc>
        <w:tc>
          <w:tcPr>
            <w:tcW w:w="1661" w:type="dxa"/>
            <w:tcBorders>
              <w:top w:val="single" w:sz="4" w:space="0" w:color="A9A9A9" w:themeColor="accent5"/>
              <w:bottom w:val="single" w:sz="4" w:space="0" w:color="A9A9A9" w:themeColor="accent5"/>
            </w:tcBorders>
            <w:shd w:val="clear" w:color="auto" w:fill="auto"/>
            <w:vAlign w:val="center"/>
          </w:tcPr>
          <w:p w14:paraId="0DE41F26" w14:textId="3A4175B7" w:rsidR="00151892" w:rsidRPr="00151892" w:rsidRDefault="00084ABC" w:rsidP="004037FA">
            <w:pPr>
              <w:spacing w:after="0"/>
              <w:jc w:val="center"/>
              <w:rPr>
                <w:rFonts w:asciiTheme="majorHAnsi" w:hAnsiTheme="majorHAnsi"/>
                <w:i/>
              </w:rPr>
            </w:pPr>
            <w:r>
              <w:rPr>
                <w:rFonts w:asciiTheme="majorHAnsi" w:hAnsiTheme="majorHAnsi"/>
                <w:i/>
              </w:rPr>
              <w:t>47</w:t>
            </w:r>
          </w:p>
        </w:tc>
      </w:tr>
      <w:tr w:rsidR="00151892" w:rsidRPr="00D32C3B" w14:paraId="58AE090F"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1FFD213E" w14:textId="7AB0ED1A" w:rsidR="00151892" w:rsidRPr="00151892" w:rsidRDefault="00151892" w:rsidP="00151892">
            <w:pPr>
              <w:spacing w:after="0"/>
              <w:ind w:left="720"/>
              <w:rPr>
                <w:rFonts w:asciiTheme="majorHAnsi" w:hAnsiTheme="majorHAnsi" w:cs="Arial"/>
                <w:i/>
              </w:rPr>
            </w:pPr>
            <w:r>
              <w:rPr>
                <w:rFonts w:asciiTheme="majorHAnsi" w:hAnsiTheme="majorHAnsi" w:cs="Arial"/>
              </w:rPr>
              <w:t xml:space="preserve">Also contains </w:t>
            </w:r>
            <w:r>
              <w:rPr>
                <w:rFonts w:asciiTheme="majorHAnsi" w:hAnsiTheme="majorHAnsi" w:cs="Arial"/>
                <w:i/>
              </w:rPr>
              <w:t>“Analyst”</w:t>
            </w:r>
          </w:p>
        </w:tc>
        <w:tc>
          <w:tcPr>
            <w:tcW w:w="1661" w:type="dxa"/>
            <w:tcBorders>
              <w:top w:val="single" w:sz="4" w:space="0" w:color="A9A9A9" w:themeColor="accent5"/>
              <w:bottom w:val="single" w:sz="4" w:space="0" w:color="A9A9A9" w:themeColor="accent5"/>
            </w:tcBorders>
            <w:shd w:val="clear" w:color="auto" w:fill="auto"/>
            <w:vAlign w:val="center"/>
          </w:tcPr>
          <w:p w14:paraId="4CF11B38" w14:textId="3748EAD7" w:rsidR="00151892" w:rsidRPr="00151892" w:rsidRDefault="00084ABC" w:rsidP="004037FA">
            <w:pPr>
              <w:spacing w:after="0"/>
              <w:jc w:val="center"/>
              <w:rPr>
                <w:rFonts w:asciiTheme="majorHAnsi" w:hAnsiTheme="majorHAnsi"/>
                <w:i/>
              </w:rPr>
            </w:pPr>
            <w:r>
              <w:rPr>
                <w:rFonts w:asciiTheme="majorHAnsi" w:hAnsiTheme="majorHAnsi"/>
                <w:i/>
              </w:rPr>
              <w:t>11</w:t>
            </w:r>
          </w:p>
        </w:tc>
      </w:tr>
      <w:tr w:rsidR="00151892" w:rsidRPr="00D32C3B" w14:paraId="6837FA5D"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279E7CDC" w14:textId="54538DA4" w:rsidR="00151892" w:rsidRPr="00151892" w:rsidRDefault="00151892" w:rsidP="00151892">
            <w:pPr>
              <w:spacing w:after="0"/>
              <w:ind w:left="720"/>
              <w:rPr>
                <w:rFonts w:asciiTheme="majorHAnsi" w:hAnsiTheme="majorHAnsi" w:cs="Arial"/>
                <w:i/>
              </w:rPr>
            </w:pPr>
            <w:r>
              <w:rPr>
                <w:rFonts w:asciiTheme="majorHAnsi" w:hAnsiTheme="majorHAnsi" w:cs="Arial"/>
              </w:rPr>
              <w:t xml:space="preserve">Also contains </w:t>
            </w:r>
            <w:r>
              <w:rPr>
                <w:rFonts w:asciiTheme="majorHAnsi" w:hAnsiTheme="majorHAnsi" w:cs="Arial"/>
                <w:i/>
              </w:rPr>
              <w:t xml:space="preserve">“Specialist” </w:t>
            </w:r>
          </w:p>
        </w:tc>
        <w:tc>
          <w:tcPr>
            <w:tcW w:w="1661" w:type="dxa"/>
            <w:tcBorders>
              <w:top w:val="single" w:sz="4" w:space="0" w:color="A9A9A9" w:themeColor="accent5"/>
              <w:bottom w:val="single" w:sz="4" w:space="0" w:color="A9A9A9" w:themeColor="accent5"/>
            </w:tcBorders>
            <w:shd w:val="clear" w:color="auto" w:fill="auto"/>
            <w:vAlign w:val="center"/>
          </w:tcPr>
          <w:p w14:paraId="0628D9CB" w14:textId="4ED9B01A" w:rsidR="00151892" w:rsidRPr="00151892" w:rsidRDefault="00084ABC" w:rsidP="004037FA">
            <w:pPr>
              <w:spacing w:after="0"/>
              <w:jc w:val="center"/>
              <w:rPr>
                <w:rFonts w:asciiTheme="majorHAnsi" w:hAnsiTheme="majorHAnsi"/>
                <w:i/>
              </w:rPr>
            </w:pPr>
            <w:r>
              <w:rPr>
                <w:rFonts w:asciiTheme="majorHAnsi" w:hAnsiTheme="majorHAnsi"/>
                <w:i/>
              </w:rPr>
              <w:t>8</w:t>
            </w:r>
          </w:p>
        </w:tc>
      </w:tr>
      <w:tr w:rsidR="00151892" w:rsidRPr="00D32C3B" w14:paraId="15FF62AC"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33C84016" w14:textId="2F4BE2E3" w:rsidR="00151892" w:rsidRPr="00151892" w:rsidRDefault="00151892" w:rsidP="00151892">
            <w:pPr>
              <w:spacing w:after="0"/>
              <w:ind w:left="720"/>
              <w:rPr>
                <w:rFonts w:asciiTheme="majorHAnsi" w:hAnsiTheme="majorHAnsi" w:cs="Arial"/>
                <w:i/>
              </w:rPr>
            </w:pPr>
            <w:r>
              <w:rPr>
                <w:rFonts w:asciiTheme="majorHAnsi" w:hAnsiTheme="majorHAnsi" w:cs="Arial"/>
              </w:rPr>
              <w:t xml:space="preserve">Also contains </w:t>
            </w:r>
            <w:r>
              <w:rPr>
                <w:rFonts w:asciiTheme="majorHAnsi" w:hAnsiTheme="majorHAnsi" w:cs="Arial"/>
                <w:i/>
              </w:rPr>
              <w:t>“Coordinator”</w:t>
            </w:r>
          </w:p>
        </w:tc>
        <w:tc>
          <w:tcPr>
            <w:tcW w:w="1661" w:type="dxa"/>
            <w:tcBorders>
              <w:top w:val="single" w:sz="4" w:space="0" w:color="A9A9A9" w:themeColor="accent5"/>
              <w:bottom w:val="single" w:sz="4" w:space="0" w:color="A9A9A9" w:themeColor="accent5"/>
            </w:tcBorders>
            <w:shd w:val="clear" w:color="auto" w:fill="auto"/>
            <w:vAlign w:val="center"/>
          </w:tcPr>
          <w:p w14:paraId="244F6C6D" w14:textId="4EE4058B" w:rsidR="00151892" w:rsidRPr="00151892" w:rsidRDefault="00084ABC" w:rsidP="004037FA">
            <w:pPr>
              <w:spacing w:after="0"/>
              <w:jc w:val="center"/>
              <w:rPr>
                <w:rFonts w:asciiTheme="majorHAnsi" w:hAnsiTheme="majorHAnsi"/>
                <w:i/>
              </w:rPr>
            </w:pPr>
            <w:r>
              <w:rPr>
                <w:rFonts w:asciiTheme="majorHAnsi" w:hAnsiTheme="majorHAnsi"/>
                <w:i/>
              </w:rPr>
              <w:t>8</w:t>
            </w:r>
          </w:p>
        </w:tc>
      </w:tr>
      <w:tr w:rsidR="00151892" w:rsidRPr="00D32C3B" w14:paraId="1B892D11"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0179287F" w14:textId="1495D27E" w:rsidR="00151892" w:rsidRPr="00151892" w:rsidRDefault="00151892" w:rsidP="00151892">
            <w:pPr>
              <w:spacing w:after="0"/>
              <w:ind w:left="720"/>
              <w:rPr>
                <w:rFonts w:asciiTheme="majorHAnsi" w:hAnsiTheme="majorHAnsi" w:cs="Arial"/>
                <w:i/>
              </w:rPr>
            </w:pPr>
            <w:r>
              <w:rPr>
                <w:rFonts w:asciiTheme="majorHAnsi" w:hAnsiTheme="majorHAnsi" w:cs="Arial"/>
              </w:rPr>
              <w:t xml:space="preserve">Also contains </w:t>
            </w:r>
            <w:r>
              <w:rPr>
                <w:rFonts w:asciiTheme="majorHAnsi" w:hAnsiTheme="majorHAnsi" w:cs="Arial"/>
                <w:i/>
              </w:rPr>
              <w:t>“Manager”</w:t>
            </w:r>
          </w:p>
        </w:tc>
        <w:tc>
          <w:tcPr>
            <w:tcW w:w="1661" w:type="dxa"/>
            <w:tcBorders>
              <w:top w:val="single" w:sz="4" w:space="0" w:color="A9A9A9" w:themeColor="accent5"/>
              <w:bottom w:val="single" w:sz="4" w:space="0" w:color="A9A9A9" w:themeColor="accent5"/>
            </w:tcBorders>
            <w:shd w:val="clear" w:color="auto" w:fill="auto"/>
            <w:vAlign w:val="center"/>
          </w:tcPr>
          <w:p w14:paraId="2013329B" w14:textId="07A14B3D" w:rsidR="00151892" w:rsidRPr="00151892" w:rsidRDefault="00084ABC" w:rsidP="004037FA">
            <w:pPr>
              <w:spacing w:after="0"/>
              <w:jc w:val="center"/>
              <w:rPr>
                <w:rFonts w:asciiTheme="majorHAnsi" w:hAnsiTheme="majorHAnsi"/>
                <w:i/>
              </w:rPr>
            </w:pPr>
            <w:r>
              <w:rPr>
                <w:rFonts w:asciiTheme="majorHAnsi" w:hAnsiTheme="majorHAnsi"/>
                <w:i/>
              </w:rPr>
              <w:t>8</w:t>
            </w:r>
          </w:p>
        </w:tc>
      </w:tr>
      <w:tr w:rsidR="00084ABC" w:rsidRPr="00D32C3B" w14:paraId="4E7D6FF2"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7433DA39" w14:textId="3A1264B8" w:rsidR="00084ABC" w:rsidRPr="00084ABC" w:rsidRDefault="00084ABC" w:rsidP="00151892">
            <w:pPr>
              <w:spacing w:after="0"/>
              <w:ind w:left="720"/>
              <w:rPr>
                <w:rFonts w:asciiTheme="majorHAnsi" w:hAnsiTheme="majorHAnsi" w:cs="Arial"/>
                <w:i/>
              </w:rPr>
            </w:pPr>
            <w:r>
              <w:rPr>
                <w:rFonts w:asciiTheme="majorHAnsi" w:hAnsiTheme="majorHAnsi" w:cs="Arial"/>
                <w:i/>
              </w:rPr>
              <w:t>Other Health Informatics</w:t>
            </w:r>
          </w:p>
        </w:tc>
        <w:tc>
          <w:tcPr>
            <w:tcW w:w="1661" w:type="dxa"/>
            <w:tcBorders>
              <w:top w:val="single" w:sz="4" w:space="0" w:color="A9A9A9" w:themeColor="accent5"/>
              <w:bottom w:val="single" w:sz="4" w:space="0" w:color="A9A9A9" w:themeColor="accent5"/>
            </w:tcBorders>
            <w:shd w:val="clear" w:color="auto" w:fill="auto"/>
            <w:vAlign w:val="center"/>
          </w:tcPr>
          <w:p w14:paraId="0447B87E" w14:textId="1CC0CF40" w:rsidR="00084ABC" w:rsidRDefault="00084ABC" w:rsidP="004037FA">
            <w:pPr>
              <w:spacing w:after="0"/>
              <w:jc w:val="center"/>
              <w:rPr>
                <w:rFonts w:asciiTheme="majorHAnsi" w:hAnsiTheme="majorHAnsi"/>
                <w:i/>
              </w:rPr>
            </w:pPr>
            <w:r>
              <w:rPr>
                <w:rFonts w:asciiTheme="majorHAnsi" w:hAnsiTheme="majorHAnsi"/>
                <w:i/>
              </w:rPr>
              <w:t>2</w:t>
            </w:r>
          </w:p>
        </w:tc>
      </w:tr>
      <w:tr w:rsidR="00151892" w:rsidRPr="00D32C3B" w14:paraId="50428820"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7C849FFD" w14:textId="019751FB" w:rsidR="00151892" w:rsidRPr="00A24474" w:rsidRDefault="00151892" w:rsidP="004037FA">
            <w:pPr>
              <w:spacing w:after="0"/>
              <w:rPr>
                <w:b/>
              </w:rPr>
            </w:pPr>
            <w:r w:rsidRPr="00A24474">
              <w:rPr>
                <w:rFonts w:asciiTheme="majorHAnsi" w:hAnsiTheme="majorHAnsi" w:cs="Arial"/>
                <w:b/>
              </w:rPr>
              <w:t xml:space="preserve">Public Health </w:t>
            </w:r>
          </w:p>
        </w:tc>
        <w:tc>
          <w:tcPr>
            <w:tcW w:w="1661" w:type="dxa"/>
            <w:tcBorders>
              <w:top w:val="single" w:sz="4" w:space="0" w:color="A9A9A9" w:themeColor="accent5"/>
              <w:bottom w:val="single" w:sz="4" w:space="0" w:color="A9A9A9" w:themeColor="accent5"/>
            </w:tcBorders>
            <w:shd w:val="clear" w:color="auto" w:fill="auto"/>
            <w:vAlign w:val="center"/>
          </w:tcPr>
          <w:p w14:paraId="06FA9EBB" w14:textId="71F454F9" w:rsidR="00151892" w:rsidRPr="00A24474" w:rsidRDefault="00084ABC" w:rsidP="004037FA">
            <w:pPr>
              <w:spacing w:after="0"/>
              <w:jc w:val="center"/>
              <w:rPr>
                <w:rFonts w:asciiTheme="majorHAnsi" w:hAnsiTheme="majorHAnsi"/>
                <w:b/>
              </w:rPr>
            </w:pPr>
            <w:r>
              <w:rPr>
                <w:rFonts w:asciiTheme="majorHAnsi" w:hAnsiTheme="majorHAnsi"/>
                <w:b/>
              </w:rPr>
              <w:t>30</w:t>
            </w:r>
          </w:p>
        </w:tc>
      </w:tr>
      <w:tr w:rsidR="00A24474" w:rsidRPr="00D32C3B" w14:paraId="0B3A6F68"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236D17BB" w14:textId="32F26663" w:rsidR="00A24474" w:rsidRPr="00D64823" w:rsidRDefault="00A24474" w:rsidP="00A24474">
            <w:pPr>
              <w:spacing w:after="0"/>
              <w:ind w:left="720"/>
            </w:pPr>
            <w:r>
              <w:rPr>
                <w:rFonts w:asciiTheme="majorHAnsi" w:hAnsiTheme="majorHAnsi" w:cs="Arial"/>
              </w:rPr>
              <w:t xml:space="preserve">Also contains </w:t>
            </w:r>
            <w:r>
              <w:rPr>
                <w:rFonts w:asciiTheme="majorHAnsi" w:hAnsiTheme="majorHAnsi" w:cs="Arial"/>
                <w:i/>
              </w:rPr>
              <w:t>“Analyst”</w:t>
            </w:r>
          </w:p>
        </w:tc>
        <w:tc>
          <w:tcPr>
            <w:tcW w:w="1661" w:type="dxa"/>
            <w:tcBorders>
              <w:top w:val="single" w:sz="4" w:space="0" w:color="A9A9A9" w:themeColor="accent5"/>
              <w:bottom w:val="single" w:sz="4" w:space="0" w:color="A9A9A9" w:themeColor="accent5"/>
            </w:tcBorders>
            <w:shd w:val="clear" w:color="auto" w:fill="auto"/>
            <w:vAlign w:val="center"/>
          </w:tcPr>
          <w:p w14:paraId="2B342E30" w14:textId="3D57503F" w:rsidR="00A24474" w:rsidRPr="00D64823" w:rsidRDefault="00084ABC" w:rsidP="00A24474">
            <w:pPr>
              <w:spacing w:after="0"/>
              <w:jc w:val="center"/>
              <w:rPr>
                <w:rFonts w:asciiTheme="majorHAnsi" w:hAnsiTheme="majorHAnsi"/>
              </w:rPr>
            </w:pPr>
            <w:r>
              <w:rPr>
                <w:rFonts w:asciiTheme="majorHAnsi" w:hAnsiTheme="majorHAnsi"/>
                <w:i/>
              </w:rPr>
              <w:t>12</w:t>
            </w:r>
          </w:p>
        </w:tc>
      </w:tr>
      <w:tr w:rsidR="00A24474" w:rsidRPr="00D32C3B" w14:paraId="175CDCC9"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5BD09E5B" w14:textId="7C6CA28B" w:rsidR="00A24474" w:rsidRPr="00D64823" w:rsidRDefault="00A24474" w:rsidP="00A24474">
            <w:pPr>
              <w:spacing w:after="0"/>
              <w:ind w:left="720"/>
            </w:pPr>
            <w:r>
              <w:rPr>
                <w:rFonts w:asciiTheme="majorHAnsi" w:hAnsiTheme="majorHAnsi" w:cs="Arial"/>
              </w:rPr>
              <w:t xml:space="preserve">Also contains </w:t>
            </w:r>
            <w:r>
              <w:rPr>
                <w:rFonts w:asciiTheme="majorHAnsi" w:hAnsiTheme="majorHAnsi" w:cs="Arial"/>
                <w:i/>
              </w:rPr>
              <w:t>“Research Associate”</w:t>
            </w:r>
          </w:p>
        </w:tc>
        <w:tc>
          <w:tcPr>
            <w:tcW w:w="1661" w:type="dxa"/>
            <w:tcBorders>
              <w:top w:val="single" w:sz="4" w:space="0" w:color="A9A9A9" w:themeColor="accent5"/>
              <w:bottom w:val="single" w:sz="4" w:space="0" w:color="A9A9A9" w:themeColor="accent5"/>
            </w:tcBorders>
            <w:shd w:val="clear" w:color="auto" w:fill="auto"/>
            <w:vAlign w:val="center"/>
          </w:tcPr>
          <w:p w14:paraId="6D57DE06" w14:textId="25070711" w:rsidR="00A24474" w:rsidRPr="00D64823" w:rsidRDefault="00084ABC" w:rsidP="00A24474">
            <w:pPr>
              <w:spacing w:after="0"/>
              <w:jc w:val="center"/>
              <w:rPr>
                <w:rFonts w:asciiTheme="majorHAnsi" w:eastAsia="Times New Roman" w:hAnsiTheme="majorHAnsi" w:cs="Calibri"/>
              </w:rPr>
            </w:pPr>
            <w:r>
              <w:rPr>
                <w:rFonts w:asciiTheme="majorHAnsi" w:hAnsiTheme="majorHAnsi"/>
                <w:i/>
              </w:rPr>
              <w:t>10</w:t>
            </w:r>
          </w:p>
        </w:tc>
      </w:tr>
      <w:tr w:rsidR="0007668C" w:rsidRPr="00D32C3B" w14:paraId="53F87844"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1E8576DD" w14:textId="1D146CB8" w:rsidR="0007668C" w:rsidRPr="00084ABC" w:rsidRDefault="0007668C" w:rsidP="00A24474">
            <w:pPr>
              <w:spacing w:after="0"/>
              <w:ind w:left="720"/>
              <w:rPr>
                <w:rFonts w:asciiTheme="majorHAnsi" w:hAnsiTheme="majorHAnsi" w:cs="Arial"/>
                <w:i/>
              </w:rPr>
            </w:pPr>
            <w:r w:rsidRPr="00084ABC">
              <w:rPr>
                <w:rFonts w:asciiTheme="majorHAnsi" w:hAnsiTheme="majorHAnsi" w:cs="Arial"/>
                <w:i/>
              </w:rPr>
              <w:t>Other Public Health</w:t>
            </w:r>
          </w:p>
        </w:tc>
        <w:tc>
          <w:tcPr>
            <w:tcW w:w="1661" w:type="dxa"/>
            <w:tcBorders>
              <w:top w:val="single" w:sz="4" w:space="0" w:color="A9A9A9" w:themeColor="accent5"/>
              <w:bottom w:val="single" w:sz="4" w:space="0" w:color="A9A9A9" w:themeColor="accent5"/>
            </w:tcBorders>
            <w:shd w:val="clear" w:color="auto" w:fill="auto"/>
            <w:vAlign w:val="center"/>
          </w:tcPr>
          <w:p w14:paraId="012DC558" w14:textId="11B4BFDF" w:rsidR="0007668C" w:rsidRDefault="00084ABC" w:rsidP="00A24474">
            <w:pPr>
              <w:spacing w:after="0"/>
              <w:jc w:val="center"/>
              <w:rPr>
                <w:rFonts w:asciiTheme="majorHAnsi" w:hAnsiTheme="majorHAnsi"/>
                <w:i/>
              </w:rPr>
            </w:pPr>
            <w:r>
              <w:rPr>
                <w:rFonts w:asciiTheme="majorHAnsi" w:hAnsiTheme="majorHAnsi"/>
                <w:i/>
              </w:rPr>
              <w:t>8</w:t>
            </w:r>
          </w:p>
        </w:tc>
      </w:tr>
      <w:tr w:rsidR="00A24474" w:rsidRPr="00D32C3B" w14:paraId="6889E8D1" w14:textId="77777777" w:rsidTr="00151892">
        <w:trPr>
          <w:trHeight w:val="270"/>
          <w:jc w:val="center"/>
        </w:trPr>
        <w:tc>
          <w:tcPr>
            <w:tcW w:w="4860" w:type="dxa"/>
            <w:tcBorders>
              <w:top w:val="single" w:sz="4" w:space="0" w:color="A9A9A9" w:themeColor="accent5"/>
              <w:bottom w:val="single" w:sz="4" w:space="0" w:color="A9A9A9" w:themeColor="accent5"/>
            </w:tcBorders>
            <w:shd w:val="clear" w:color="auto" w:fill="auto"/>
            <w:vAlign w:val="center"/>
          </w:tcPr>
          <w:p w14:paraId="6C66C83C" w14:textId="5E5550FB" w:rsidR="00A24474" w:rsidRPr="00A24474" w:rsidRDefault="00A24474" w:rsidP="00A24474">
            <w:pPr>
              <w:spacing w:after="0"/>
              <w:rPr>
                <w:b/>
              </w:rPr>
            </w:pPr>
            <w:r w:rsidRPr="00A24474">
              <w:rPr>
                <w:rFonts w:asciiTheme="majorHAnsi" w:hAnsiTheme="majorHAnsi" w:cs="Arial"/>
                <w:b/>
              </w:rPr>
              <w:t>Epidemiology Analyst</w:t>
            </w:r>
          </w:p>
        </w:tc>
        <w:tc>
          <w:tcPr>
            <w:tcW w:w="1661" w:type="dxa"/>
            <w:tcBorders>
              <w:top w:val="single" w:sz="4" w:space="0" w:color="A9A9A9" w:themeColor="accent5"/>
              <w:bottom w:val="single" w:sz="4" w:space="0" w:color="A9A9A9" w:themeColor="accent5"/>
            </w:tcBorders>
            <w:shd w:val="clear" w:color="auto" w:fill="auto"/>
            <w:vAlign w:val="center"/>
          </w:tcPr>
          <w:p w14:paraId="3E1C8E3F" w14:textId="6CAF37DF" w:rsidR="00A24474" w:rsidRPr="00A24474" w:rsidRDefault="00084ABC" w:rsidP="00A24474">
            <w:pPr>
              <w:spacing w:after="0"/>
              <w:jc w:val="center"/>
              <w:rPr>
                <w:rFonts w:asciiTheme="majorHAnsi" w:eastAsia="Times New Roman" w:hAnsiTheme="majorHAnsi" w:cs="Calibri"/>
                <w:b/>
              </w:rPr>
            </w:pPr>
            <w:r>
              <w:rPr>
                <w:rFonts w:asciiTheme="majorHAnsi" w:hAnsiTheme="majorHAnsi"/>
                <w:b/>
              </w:rPr>
              <w:t>10</w:t>
            </w:r>
          </w:p>
        </w:tc>
      </w:tr>
      <w:tr w:rsidR="00A24474" w:rsidRPr="00D32C3B" w14:paraId="6DEFC521" w14:textId="77777777" w:rsidTr="00990111">
        <w:trPr>
          <w:trHeight w:val="270"/>
          <w:jc w:val="center"/>
        </w:trPr>
        <w:tc>
          <w:tcPr>
            <w:tcW w:w="4860" w:type="dxa"/>
            <w:tcBorders>
              <w:top w:val="single" w:sz="4" w:space="0" w:color="A9A9A9" w:themeColor="accent5"/>
              <w:bottom w:val="double" w:sz="4" w:space="0" w:color="A9A9A9" w:themeColor="accent5"/>
            </w:tcBorders>
            <w:shd w:val="clear" w:color="auto" w:fill="auto"/>
            <w:vAlign w:val="center"/>
          </w:tcPr>
          <w:p w14:paraId="0DB58347" w14:textId="27845862" w:rsidR="00A24474" w:rsidRPr="00990111" w:rsidRDefault="00990111" w:rsidP="00A24474">
            <w:pPr>
              <w:spacing w:after="0"/>
              <w:rPr>
                <w:b/>
              </w:rPr>
            </w:pPr>
            <w:r>
              <w:rPr>
                <w:b/>
              </w:rPr>
              <w:t>Other</w:t>
            </w:r>
          </w:p>
        </w:tc>
        <w:tc>
          <w:tcPr>
            <w:tcW w:w="1661" w:type="dxa"/>
            <w:tcBorders>
              <w:top w:val="single" w:sz="4" w:space="0" w:color="A9A9A9" w:themeColor="accent5"/>
              <w:bottom w:val="double" w:sz="4" w:space="0" w:color="A9A9A9" w:themeColor="accent5"/>
            </w:tcBorders>
            <w:shd w:val="clear" w:color="auto" w:fill="auto"/>
            <w:vAlign w:val="center"/>
          </w:tcPr>
          <w:p w14:paraId="0779FD1C" w14:textId="1046D519" w:rsidR="00A24474" w:rsidRPr="00990111" w:rsidRDefault="00084ABC" w:rsidP="00A24474">
            <w:pPr>
              <w:spacing w:after="0"/>
              <w:jc w:val="center"/>
              <w:rPr>
                <w:rFonts w:asciiTheme="majorHAnsi" w:eastAsia="Times New Roman" w:hAnsiTheme="majorHAnsi" w:cs="Calibri"/>
                <w:b/>
              </w:rPr>
            </w:pPr>
            <w:r>
              <w:rPr>
                <w:rFonts w:asciiTheme="majorHAnsi" w:eastAsia="Times New Roman" w:hAnsiTheme="majorHAnsi" w:cs="Calibri"/>
                <w:b/>
              </w:rPr>
              <w:t>6</w:t>
            </w:r>
          </w:p>
        </w:tc>
      </w:tr>
      <w:tr w:rsidR="00990111" w:rsidRPr="00D32C3B" w14:paraId="55BB4EA4" w14:textId="77777777" w:rsidTr="00990111">
        <w:trPr>
          <w:trHeight w:val="270"/>
          <w:jc w:val="center"/>
        </w:trPr>
        <w:tc>
          <w:tcPr>
            <w:tcW w:w="4860" w:type="dxa"/>
            <w:tcBorders>
              <w:top w:val="double" w:sz="4" w:space="0" w:color="A9A9A9" w:themeColor="accent5"/>
              <w:bottom w:val="single" w:sz="4" w:space="0" w:color="A9A9A9" w:themeColor="accent5"/>
            </w:tcBorders>
            <w:shd w:val="clear" w:color="auto" w:fill="auto"/>
            <w:vAlign w:val="center"/>
          </w:tcPr>
          <w:p w14:paraId="7AFD0B54" w14:textId="6C5DB09C" w:rsidR="00990111" w:rsidRDefault="00990111" w:rsidP="00A24474">
            <w:pPr>
              <w:spacing w:after="0"/>
              <w:rPr>
                <w:b/>
              </w:rPr>
            </w:pPr>
            <w:r>
              <w:rPr>
                <w:b/>
              </w:rPr>
              <w:t>Total</w:t>
            </w:r>
          </w:p>
        </w:tc>
        <w:tc>
          <w:tcPr>
            <w:tcW w:w="1661" w:type="dxa"/>
            <w:tcBorders>
              <w:top w:val="double" w:sz="4" w:space="0" w:color="A9A9A9" w:themeColor="accent5"/>
              <w:bottom w:val="single" w:sz="4" w:space="0" w:color="A9A9A9" w:themeColor="accent5"/>
            </w:tcBorders>
            <w:shd w:val="clear" w:color="auto" w:fill="auto"/>
            <w:vAlign w:val="center"/>
          </w:tcPr>
          <w:p w14:paraId="58A89079" w14:textId="082BE7BC" w:rsidR="00990111" w:rsidRPr="00990111" w:rsidRDefault="00084ABC" w:rsidP="00A24474">
            <w:pPr>
              <w:spacing w:after="0"/>
              <w:jc w:val="center"/>
              <w:rPr>
                <w:rFonts w:asciiTheme="majorHAnsi" w:eastAsia="Times New Roman" w:hAnsiTheme="majorHAnsi" w:cs="Calibri"/>
                <w:b/>
              </w:rPr>
            </w:pPr>
            <w:r>
              <w:rPr>
                <w:rFonts w:asciiTheme="majorHAnsi" w:eastAsia="Times New Roman" w:hAnsiTheme="majorHAnsi" w:cs="Calibri"/>
                <w:b/>
              </w:rPr>
              <w:t>130</w:t>
            </w:r>
          </w:p>
        </w:tc>
      </w:tr>
    </w:tbl>
    <w:p w14:paraId="19AB8BA4" w14:textId="77777777" w:rsidR="006B241F" w:rsidRDefault="006B241F" w:rsidP="00040EA1">
      <w:pPr>
        <w:spacing w:after="0"/>
        <w:rPr>
          <w:rFonts w:asciiTheme="majorHAnsi" w:hAnsiTheme="majorHAnsi"/>
          <w:b/>
          <w:bCs/>
        </w:rPr>
      </w:pPr>
    </w:p>
    <w:p w14:paraId="650E516C" w14:textId="73658BA7" w:rsidR="00040EA1" w:rsidRPr="00040EA1" w:rsidRDefault="00040EA1" w:rsidP="004A5B15">
      <w:pPr>
        <w:pStyle w:val="Heading1"/>
      </w:pPr>
      <w:r>
        <w:t>Employers</w:t>
      </w:r>
    </w:p>
    <w:p w14:paraId="4E048CE8" w14:textId="7841E29C" w:rsidR="0075738F" w:rsidRDefault="0075738F" w:rsidP="0077489A">
      <w:pPr>
        <w:rPr>
          <w:rFonts w:asciiTheme="majorHAnsi" w:hAnsiTheme="majorHAnsi"/>
          <w:bCs/>
        </w:rPr>
      </w:pPr>
      <w:r>
        <w:rPr>
          <w:rFonts w:asciiTheme="majorHAnsi" w:hAnsiTheme="majorHAnsi"/>
          <w:bCs/>
        </w:rPr>
        <w:t xml:space="preserve">The employers posting </w:t>
      </w:r>
      <w:r w:rsidR="006B241F">
        <w:rPr>
          <w:rFonts w:asciiTheme="majorHAnsi" w:hAnsiTheme="majorHAnsi"/>
          <w:bCs/>
        </w:rPr>
        <w:t>the most</w:t>
      </w:r>
      <w:r>
        <w:rPr>
          <w:rFonts w:asciiTheme="majorHAnsi" w:hAnsiTheme="majorHAnsi"/>
          <w:bCs/>
        </w:rPr>
        <w:t xml:space="preserve"> job ads seeking candidates for PH</w:t>
      </w:r>
      <w:r w:rsidR="00D20747">
        <w:rPr>
          <w:rFonts w:asciiTheme="majorHAnsi" w:hAnsiTheme="majorHAnsi"/>
          <w:bCs/>
        </w:rPr>
        <w:t xml:space="preserve">IT positions appear in </w:t>
      </w:r>
      <w:r w:rsidR="000D7AAF">
        <w:rPr>
          <w:rFonts w:asciiTheme="majorHAnsi" w:hAnsiTheme="majorHAnsi"/>
          <w:bCs/>
        </w:rPr>
        <w:t xml:space="preserve">Exhibit </w:t>
      </w:r>
      <w:r w:rsidR="00D20747">
        <w:rPr>
          <w:rFonts w:asciiTheme="majorHAnsi" w:hAnsiTheme="majorHAnsi"/>
          <w:bCs/>
        </w:rPr>
        <w:t>3</w:t>
      </w:r>
      <w:r>
        <w:rPr>
          <w:rFonts w:asciiTheme="majorHAnsi" w:hAnsiTheme="majorHAnsi"/>
          <w:bCs/>
        </w:rPr>
        <w:t>. Anthem Blue Cross posted most frequently for PHIT positon</w:t>
      </w:r>
      <w:r w:rsidR="004037FA">
        <w:rPr>
          <w:rFonts w:asciiTheme="majorHAnsi" w:hAnsiTheme="majorHAnsi"/>
          <w:bCs/>
        </w:rPr>
        <w:t>s</w:t>
      </w:r>
      <w:r>
        <w:rPr>
          <w:rFonts w:asciiTheme="majorHAnsi" w:hAnsiTheme="majorHAnsi"/>
          <w:bCs/>
        </w:rPr>
        <w:t xml:space="preserve">, followed by </w:t>
      </w:r>
      <w:r w:rsidR="00AC70F5">
        <w:rPr>
          <w:rFonts w:asciiTheme="majorHAnsi" w:hAnsiTheme="majorHAnsi"/>
          <w:bCs/>
        </w:rPr>
        <w:t>t</w:t>
      </w:r>
      <w:r w:rsidR="004037FA">
        <w:rPr>
          <w:rFonts w:asciiTheme="majorHAnsi" w:hAnsiTheme="majorHAnsi"/>
          <w:bCs/>
        </w:rPr>
        <w:t xml:space="preserve">he University of California (multiple campuses), and then by </w:t>
      </w:r>
      <w:r w:rsidR="00583EC8">
        <w:rPr>
          <w:rFonts w:asciiTheme="majorHAnsi" w:hAnsiTheme="majorHAnsi"/>
          <w:bCs/>
        </w:rPr>
        <w:t>Prime Healthcare Services and the Center for Innovative Public Health Research</w:t>
      </w:r>
      <w:r w:rsidR="004037FA">
        <w:rPr>
          <w:rFonts w:asciiTheme="majorHAnsi" w:hAnsiTheme="majorHAnsi"/>
          <w:bCs/>
        </w:rPr>
        <w:t>.</w:t>
      </w:r>
      <w:r w:rsidR="00583EC8">
        <w:rPr>
          <w:rFonts w:asciiTheme="majorHAnsi" w:hAnsiTheme="majorHAnsi"/>
          <w:bCs/>
        </w:rPr>
        <w:t xml:space="preserve"> Notably, there were minimal postings from county and city offices with two postings from San Bernardino County and two from the City of Long Beach.</w:t>
      </w:r>
    </w:p>
    <w:p w14:paraId="34DCE2D2" w14:textId="4C2C339B" w:rsidR="004037FA" w:rsidRPr="004037FA" w:rsidRDefault="00D20747" w:rsidP="004037FA">
      <w:pPr>
        <w:spacing w:after="0"/>
        <w:jc w:val="center"/>
        <w:rPr>
          <w:rFonts w:asciiTheme="majorHAnsi" w:hAnsiTheme="majorHAnsi"/>
          <w:b/>
          <w:bCs/>
        </w:rPr>
      </w:pPr>
      <w:r>
        <w:rPr>
          <w:rFonts w:asciiTheme="majorHAnsi" w:hAnsiTheme="majorHAnsi"/>
          <w:b/>
          <w:bCs/>
        </w:rPr>
        <w:t>Exhibit 3</w:t>
      </w:r>
      <w:r w:rsidR="004037FA" w:rsidRPr="004037FA">
        <w:rPr>
          <w:rFonts w:asciiTheme="majorHAnsi" w:hAnsiTheme="majorHAnsi"/>
          <w:b/>
          <w:bCs/>
        </w:rPr>
        <w:t xml:space="preserve">: Top employers </w:t>
      </w:r>
      <w:r w:rsidR="00192616">
        <w:rPr>
          <w:rFonts w:asciiTheme="majorHAnsi" w:hAnsiTheme="majorHAnsi"/>
          <w:b/>
          <w:bCs/>
        </w:rPr>
        <w:t xml:space="preserve">and related job titles </w:t>
      </w:r>
      <w:r w:rsidR="004037FA" w:rsidRPr="004037FA">
        <w:rPr>
          <w:rFonts w:asciiTheme="majorHAnsi" w:hAnsiTheme="majorHAnsi"/>
          <w:b/>
          <w:bCs/>
        </w:rPr>
        <w:t>from PHIT job postings</w:t>
      </w:r>
    </w:p>
    <w:tbl>
      <w:tblPr>
        <w:tblW w:w="0" w:type="auto"/>
        <w:jc w:val="center"/>
        <w:tblLook w:val="04A0" w:firstRow="1" w:lastRow="0" w:firstColumn="1" w:lastColumn="0" w:noHBand="0" w:noVBand="1"/>
      </w:tblPr>
      <w:tblGrid>
        <w:gridCol w:w="5373"/>
        <w:gridCol w:w="2606"/>
      </w:tblGrid>
      <w:tr w:rsidR="00D71153" w:rsidRPr="00D32C3B" w14:paraId="62008A4F" w14:textId="1A20AAF6" w:rsidTr="00D71153">
        <w:trPr>
          <w:trHeight w:val="792"/>
          <w:tblHeader/>
          <w:jc w:val="center"/>
        </w:trPr>
        <w:tc>
          <w:tcPr>
            <w:tcW w:w="0" w:type="auto"/>
            <w:tcBorders>
              <w:bottom w:val="single" w:sz="4" w:space="0" w:color="A9A9A9" w:themeColor="accent5"/>
            </w:tcBorders>
            <w:shd w:val="clear" w:color="auto" w:fill="E0EE7C" w:themeFill="accent3" w:themeFillTint="66"/>
            <w:vAlign w:val="center"/>
            <w:hideMark/>
          </w:tcPr>
          <w:p w14:paraId="6F408603" w14:textId="60BEFB2A" w:rsidR="00D71153" w:rsidRPr="00D64823" w:rsidRDefault="00D71153" w:rsidP="0075738F">
            <w:pPr>
              <w:pStyle w:val="TableColumnTitles"/>
              <w:jc w:val="left"/>
              <w:rPr>
                <w:szCs w:val="24"/>
              </w:rPr>
            </w:pPr>
            <w:r>
              <w:rPr>
                <w:szCs w:val="24"/>
              </w:rPr>
              <w:t xml:space="preserve">Employer </w:t>
            </w:r>
          </w:p>
        </w:tc>
        <w:tc>
          <w:tcPr>
            <w:tcW w:w="0" w:type="auto"/>
            <w:tcBorders>
              <w:bottom w:val="single" w:sz="4" w:space="0" w:color="A9A9A9" w:themeColor="accent5"/>
            </w:tcBorders>
            <w:shd w:val="clear" w:color="auto" w:fill="E0EE7C" w:themeFill="accent3" w:themeFillTint="66"/>
            <w:vAlign w:val="center"/>
            <w:hideMark/>
          </w:tcPr>
          <w:p w14:paraId="19620FB0" w14:textId="77777777" w:rsidR="00D71153" w:rsidRPr="00D64823" w:rsidRDefault="00D71153" w:rsidP="0075738F">
            <w:pPr>
              <w:pStyle w:val="TableColumnTitles"/>
              <w:rPr>
                <w:szCs w:val="24"/>
              </w:rPr>
            </w:pPr>
            <w:r>
              <w:rPr>
                <w:szCs w:val="24"/>
              </w:rPr>
              <w:t>Number of Job Postings</w:t>
            </w:r>
          </w:p>
        </w:tc>
      </w:tr>
      <w:tr w:rsidR="00D71153" w:rsidRPr="00D32C3B" w14:paraId="1610F638" w14:textId="51F4B4C4"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49C6DB74" w14:textId="1B8EECE1" w:rsidR="00D71153" w:rsidRPr="00D71153" w:rsidRDefault="00D71153" w:rsidP="004037FA">
            <w:pPr>
              <w:spacing w:after="0"/>
              <w:rPr>
                <w:b/>
              </w:rPr>
            </w:pPr>
            <w:r w:rsidRPr="00D71153">
              <w:rPr>
                <w:b/>
              </w:rPr>
              <w:t>Anthem Blue Cross</w:t>
            </w:r>
          </w:p>
        </w:tc>
        <w:tc>
          <w:tcPr>
            <w:tcW w:w="0" w:type="auto"/>
            <w:tcBorders>
              <w:top w:val="single" w:sz="4" w:space="0" w:color="A9A9A9" w:themeColor="accent5"/>
              <w:bottom w:val="single" w:sz="4" w:space="0" w:color="A9A9A9" w:themeColor="accent5"/>
            </w:tcBorders>
            <w:shd w:val="clear" w:color="auto" w:fill="auto"/>
            <w:vAlign w:val="center"/>
          </w:tcPr>
          <w:p w14:paraId="6CDDDA6A" w14:textId="7AB64B02" w:rsidR="00D71153" w:rsidRPr="00D71153" w:rsidRDefault="00D71153" w:rsidP="004037FA">
            <w:pPr>
              <w:spacing w:after="0"/>
              <w:jc w:val="center"/>
              <w:rPr>
                <w:rFonts w:asciiTheme="majorHAnsi" w:eastAsia="Times New Roman" w:hAnsiTheme="majorHAnsi" w:cs="Calibri"/>
                <w:b/>
              </w:rPr>
            </w:pPr>
            <w:r w:rsidRPr="00D71153">
              <w:rPr>
                <w:rFonts w:asciiTheme="majorHAnsi" w:eastAsia="Times New Roman" w:hAnsiTheme="majorHAnsi" w:cs="Calibri"/>
                <w:b/>
              </w:rPr>
              <w:t>46</w:t>
            </w:r>
          </w:p>
        </w:tc>
      </w:tr>
      <w:tr w:rsidR="00D71153" w:rsidRPr="00D32C3B" w14:paraId="5C7A05BD"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5DF5BACB" w14:textId="2BA52F1E" w:rsidR="00D71153" w:rsidRPr="00D71153" w:rsidRDefault="00D71153" w:rsidP="00D71153">
            <w:pPr>
              <w:spacing w:after="0"/>
              <w:ind w:left="720"/>
              <w:rPr>
                <w:i/>
              </w:rPr>
            </w:pPr>
            <w:r w:rsidRPr="00D71153">
              <w:rPr>
                <w:i/>
              </w:rPr>
              <w:t xml:space="preserve">Health Informatics Consultant/Consultant Senior </w:t>
            </w:r>
          </w:p>
        </w:tc>
        <w:tc>
          <w:tcPr>
            <w:tcW w:w="0" w:type="auto"/>
            <w:tcBorders>
              <w:top w:val="single" w:sz="4" w:space="0" w:color="A9A9A9" w:themeColor="accent5"/>
              <w:bottom w:val="single" w:sz="4" w:space="0" w:color="A9A9A9" w:themeColor="accent5"/>
            </w:tcBorders>
            <w:shd w:val="clear" w:color="auto" w:fill="auto"/>
            <w:vAlign w:val="center"/>
          </w:tcPr>
          <w:p w14:paraId="370BD869" w14:textId="6D7A3150" w:rsidR="00D71153" w:rsidRPr="00D71153" w:rsidRDefault="00D71153" w:rsidP="004037FA">
            <w:pPr>
              <w:spacing w:after="0"/>
              <w:jc w:val="center"/>
              <w:rPr>
                <w:rFonts w:asciiTheme="majorHAnsi" w:eastAsia="Times New Roman" w:hAnsiTheme="majorHAnsi" w:cs="Calibri"/>
                <w:i/>
              </w:rPr>
            </w:pPr>
            <w:r>
              <w:rPr>
                <w:rFonts w:asciiTheme="majorHAnsi" w:eastAsia="Times New Roman" w:hAnsiTheme="majorHAnsi" w:cs="Calibri"/>
                <w:i/>
              </w:rPr>
              <w:t>29</w:t>
            </w:r>
          </w:p>
        </w:tc>
      </w:tr>
      <w:tr w:rsidR="00D71153" w:rsidRPr="00D32C3B" w14:paraId="059C56C3"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50A86829" w14:textId="409879FD" w:rsidR="00D71153" w:rsidRPr="00D71153" w:rsidRDefault="00D71153" w:rsidP="00D71153">
            <w:pPr>
              <w:spacing w:after="0"/>
              <w:ind w:left="720"/>
              <w:rPr>
                <w:b/>
              </w:rPr>
            </w:pPr>
            <w:r w:rsidRPr="00D71153">
              <w:rPr>
                <w:i/>
              </w:rPr>
              <w:t>Senior Health Informatics Consultant</w:t>
            </w:r>
          </w:p>
        </w:tc>
        <w:tc>
          <w:tcPr>
            <w:tcW w:w="0" w:type="auto"/>
            <w:tcBorders>
              <w:top w:val="single" w:sz="4" w:space="0" w:color="A9A9A9" w:themeColor="accent5"/>
              <w:bottom w:val="single" w:sz="4" w:space="0" w:color="A9A9A9" w:themeColor="accent5"/>
            </w:tcBorders>
            <w:shd w:val="clear" w:color="auto" w:fill="auto"/>
            <w:vAlign w:val="center"/>
          </w:tcPr>
          <w:p w14:paraId="67B0D305" w14:textId="47E0C640" w:rsidR="00D71153" w:rsidRPr="00D71153" w:rsidRDefault="00D71153" w:rsidP="00D71153">
            <w:pPr>
              <w:spacing w:after="0"/>
              <w:jc w:val="center"/>
              <w:rPr>
                <w:rFonts w:asciiTheme="majorHAnsi" w:eastAsia="Times New Roman" w:hAnsiTheme="majorHAnsi" w:cs="Calibri"/>
                <w:b/>
              </w:rPr>
            </w:pPr>
            <w:r>
              <w:rPr>
                <w:rFonts w:asciiTheme="majorHAnsi" w:eastAsia="Times New Roman" w:hAnsiTheme="majorHAnsi" w:cs="Calibri"/>
                <w:i/>
              </w:rPr>
              <w:t>17</w:t>
            </w:r>
          </w:p>
        </w:tc>
      </w:tr>
      <w:tr w:rsidR="00D71153" w:rsidRPr="00D32C3B" w14:paraId="47902140" w14:textId="0B90044B"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2986E476" w14:textId="7654EB5C" w:rsidR="00D71153" w:rsidRPr="006B241F" w:rsidRDefault="00D71153" w:rsidP="004037FA">
            <w:pPr>
              <w:spacing w:after="0"/>
              <w:rPr>
                <w:b/>
              </w:rPr>
            </w:pPr>
            <w:r w:rsidRPr="006B241F">
              <w:rPr>
                <w:b/>
              </w:rPr>
              <w:t>University of California</w:t>
            </w:r>
          </w:p>
        </w:tc>
        <w:tc>
          <w:tcPr>
            <w:tcW w:w="0" w:type="auto"/>
            <w:tcBorders>
              <w:top w:val="single" w:sz="4" w:space="0" w:color="A9A9A9" w:themeColor="accent5"/>
              <w:bottom w:val="single" w:sz="4" w:space="0" w:color="A9A9A9" w:themeColor="accent5"/>
            </w:tcBorders>
            <w:shd w:val="clear" w:color="auto" w:fill="auto"/>
            <w:vAlign w:val="center"/>
          </w:tcPr>
          <w:p w14:paraId="36F747F4" w14:textId="7C209AF4" w:rsidR="00D71153" w:rsidRPr="006B241F" w:rsidRDefault="00D71153" w:rsidP="004037FA">
            <w:pPr>
              <w:spacing w:after="0"/>
              <w:jc w:val="center"/>
              <w:rPr>
                <w:rFonts w:asciiTheme="majorHAnsi" w:hAnsiTheme="majorHAnsi"/>
                <w:b/>
              </w:rPr>
            </w:pPr>
            <w:r w:rsidRPr="006B241F">
              <w:rPr>
                <w:rFonts w:asciiTheme="majorHAnsi" w:hAnsiTheme="majorHAnsi"/>
                <w:b/>
              </w:rPr>
              <w:t>9</w:t>
            </w:r>
          </w:p>
        </w:tc>
      </w:tr>
      <w:tr w:rsidR="006B241F" w:rsidRPr="00D32C3B" w14:paraId="0AA062D7"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062E4A16" w14:textId="50B5F88F" w:rsidR="006B241F" w:rsidRPr="006B241F" w:rsidRDefault="006B241F" w:rsidP="006B241F">
            <w:pPr>
              <w:spacing w:after="0"/>
              <w:ind w:left="720"/>
              <w:rPr>
                <w:b/>
              </w:rPr>
            </w:pPr>
            <w:r w:rsidRPr="00D71153">
              <w:rPr>
                <w:i/>
              </w:rPr>
              <w:t>Health Informatics</w:t>
            </w:r>
            <w:r>
              <w:rPr>
                <w:i/>
              </w:rPr>
              <w:t xml:space="preserve"> Analyst</w:t>
            </w:r>
          </w:p>
        </w:tc>
        <w:tc>
          <w:tcPr>
            <w:tcW w:w="0" w:type="auto"/>
            <w:tcBorders>
              <w:top w:val="single" w:sz="4" w:space="0" w:color="A9A9A9" w:themeColor="accent5"/>
              <w:bottom w:val="single" w:sz="4" w:space="0" w:color="A9A9A9" w:themeColor="accent5"/>
            </w:tcBorders>
            <w:shd w:val="clear" w:color="auto" w:fill="auto"/>
            <w:vAlign w:val="center"/>
          </w:tcPr>
          <w:p w14:paraId="38DCD33B" w14:textId="79232345" w:rsidR="006B241F" w:rsidRPr="006B241F" w:rsidRDefault="006B241F" w:rsidP="004037FA">
            <w:pPr>
              <w:spacing w:after="0"/>
              <w:jc w:val="center"/>
              <w:rPr>
                <w:rFonts w:asciiTheme="majorHAnsi" w:hAnsiTheme="majorHAnsi"/>
                <w:i/>
              </w:rPr>
            </w:pPr>
            <w:r>
              <w:rPr>
                <w:rFonts w:asciiTheme="majorHAnsi" w:hAnsiTheme="majorHAnsi"/>
                <w:i/>
              </w:rPr>
              <w:t>4</w:t>
            </w:r>
          </w:p>
        </w:tc>
      </w:tr>
      <w:tr w:rsidR="006B241F" w:rsidRPr="00D32C3B" w14:paraId="435B4CC3"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5EF8B083" w14:textId="78D3BA8A" w:rsidR="006B241F" w:rsidRPr="006B241F" w:rsidRDefault="006B241F" w:rsidP="006B241F">
            <w:pPr>
              <w:spacing w:after="0"/>
              <w:ind w:left="720"/>
              <w:rPr>
                <w:i/>
              </w:rPr>
            </w:pPr>
            <w:r>
              <w:rPr>
                <w:i/>
              </w:rPr>
              <w:t>Public Health Research Associate</w:t>
            </w:r>
          </w:p>
        </w:tc>
        <w:tc>
          <w:tcPr>
            <w:tcW w:w="0" w:type="auto"/>
            <w:tcBorders>
              <w:top w:val="single" w:sz="4" w:space="0" w:color="A9A9A9" w:themeColor="accent5"/>
              <w:bottom w:val="single" w:sz="4" w:space="0" w:color="A9A9A9" w:themeColor="accent5"/>
            </w:tcBorders>
            <w:shd w:val="clear" w:color="auto" w:fill="auto"/>
            <w:vAlign w:val="center"/>
          </w:tcPr>
          <w:p w14:paraId="05986B5C" w14:textId="149FDDB7" w:rsidR="006B241F" w:rsidRPr="006B241F" w:rsidRDefault="006B241F" w:rsidP="004037FA">
            <w:pPr>
              <w:spacing w:after="0"/>
              <w:jc w:val="center"/>
              <w:rPr>
                <w:rFonts w:asciiTheme="majorHAnsi" w:hAnsiTheme="majorHAnsi"/>
                <w:i/>
              </w:rPr>
            </w:pPr>
            <w:r>
              <w:rPr>
                <w:rFonts w:asciiTheme="majorHAnsi" w:hAnsiTheme="majorHAnsi"/>
                <w:i/>
              </w:rPr>
              <w:t>3</w:t>
            </w:r>
          </w:p>
        </w:tc>
      </w:tr>
      <w:tr w:rsidR="006B241F" w:rsidRPr="00D32C3B" w14:paraId="1B5A141B"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3B8D893A" w14:textId="33112CCF" w:rsidR="006B241F" w:rsidRPr="006B241F" w:rsidRDefault="006B241F" w:rsidP="006B241F">
            <w:pPr>
              <w:spacing w:after="0"/>
              <w:ind w:left="720"/>
              <w:rPr>
                <w:i/>
              </w:rPr>
            </w:pPr>
            <w:r>
              <w:rPr>
                <w:i/>
              </w:rPr>
              <w:t>Public Health Informatics Director/Manager</w:t>
            </w:r>
          </w:p>
        </w:tc>
        <w:tc>
          <w:tcPr>
            <w:tcW w:w="0" w:type="auto"/>
            <w:tcBorders>
              <w:top w:val="single" w:sz="4" w:space="0" w:color="A9A9A9" w:themeColor="accent5"/>
              <w:bottom w:val="single" w:sz="4" w:space="0" w:color="A9A9A9" w:themeColor="accent5"/>
            </w:tcBorders>
            <w:shd w:val="clear" w:color="auto" w:fill="auto"/>
            <w:vAlign w:val="center"/>
          </w:tcPr>
          <w:p w14:paraId="3FD64D23" w14:textId="3F10F3A4" w:rsidR="006B241F" w:rsidRPr="006B241F" w:rsidRDefault="006B241F" w:rsidP="004037FA">
            <w:pPr>
              <w:spacing w:after="0"/>
              <w:jc w:val="center"/>
              <w:rPr>
                <w:rFonts w:asciiTheme="majorHAnsi" w:hAnsiTheme="majorHAnsi"/>
                <w:i/>
              </w:rPr>
            </w:pPr>
            <w:r>
              <w:rPr>
                <w:rFonts w:asciiTheme="majorHAnsi" w:hAnsiTheme="majorHAnsi"/>
                <w:i/>
              </w:rPr>
              <w:t>2</w:t>
            </w:r>
          </w:p>
        </w:tc>
      </w:tr>
      <w:tr w:rsidR="00D71153" w:rsidRPr="00D32C3B" w14:paraId="32883759"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19F8428F" w14:textId="1ACC333B" w:rsidR="00D71153" w:rsidRPr="006B241F" w:rsidRDefault="00D71153" w:rsidP="00D71153">
            <w:pPr>
              <w:spacing w:after="0"/>
              <w:rPr>
                <w:b/>
              </w:rPr>
            </w:pPr>
            <w:r w:rsidRPr="006B241F">
              <w:rPr>
                <w:rFonts w:asciiTheme="majorHAnsi" w:eastAsia="Times New Roman" w:hAnsiTheme="majorHAnsi" w:cs="Calibri"/>
                <w:b/>
              </w:rPr>
              <w:t>Prime Healthcare Services</w:t>
            </w:r>
          </w:p>
        </w:tc>
        <w:tc>
          <w:tcPr>
            <w:tcW w:w="0" w:type="auto"/>
            <w:tcBorders>
              <w:top w:val="single" w:sz="4" w:space="0" w:color="A9A9A9" w:themeColor="accent5"/>
              <w:bottom w:val="single" w:sz="4" w:space="0" w:color="A9A9A9" w:themeColor="accent5"/>
            </w:tcBorders>
            <w:shd w:val="clear" w:color="auto" w:fill="auto"/>
            <w:vAlign w:val="center"/>
          </w:tcPr>
          <w:p w14:paraId="641E1F52" w14:textId="26D6319B" w:rsidR="00D71153" w:rsidRPr="006B241F" w:rsidRDefault="00D71153" w:rsidP="00D71153">
            <w:pPr>
              <w:spacing w:after="0"/>
              <w:jc w:val="center"/>
              <w:rPr>
                <w:rFonts w:asciiTheme="majorHAnsi" w:eastAsia="Times New Roman" w:hAnsiTheme="majorHAnsi" w:cs="Calibri"/>
                <w:b/>
              </w:rPr>
            </w:pPr>
            <w:r w:rsidRPr="006B241F">
              <w:rPr>
                <w:rFonts w:asciiTheme="majorHAnsi" w:eastAsia="Times New Roman" w:hAnsiTheme="majorHAnsi" w:cs="Calibri"/>
                <w:b/>
              </w:rPr>
              <w:t>6</w:t>
            </w:r>
          </w:p>
        </w:tc>
      </w:tr>
      <w:tr w:rsidR="006B241F" w:rsidRPr="00D32C3B" w14:paraId="69B89D75"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5519EBBF" w14:textId="3784CD09" w:rsidR="006B241F" w:rsidRPr="006B241F" w:rsidRDefault="006B241F" w:rsidP="006B241F">
            <w:pPr>
              <w:spacing w:after="0"/>
              <w:ind w:left="720"/>
              <w:rPr>
                <w:rFonts w:asciiTheme="majorHAnsi" w:eastAsia="Times New Roman" w:hAnsiTheme="majorHAnsi" w:cs="Calibri"/>
                <w:i/>
              </w:rPr>
            </w:pPr>
            <w:r>
              <w:rPr>
                <w:rFonts w:asciiTheme="majorHAnsi" w:eastAsia="Times New Roman" w:hAnsiTheme="majorHAnsi" w:cs="Calibri"/>
                <w:i/>
              </w:rPr>
              <w:t>Health Informatics Coordinator I</w:t>
            </w:r>
          </w:p>
        </w:tc>
        <w:tc>
          <w:tcPr>
            <w:tcW w:w="0" w:type="auto"/>
            <w:tcBorders>
              <w:top w:val="single" w:sz="4" w:space="0" w:color="A9A9A9" w:themeColor="accent5"/>
              <w:bottom w:val="single" w:sz="4" w:space="0" w:color="A9A9A9" w:themeColor="accent5"/>
            </w:tcBorders>
            <w:shd w:val="clear" w:color="auto" w:fill="auto"/>
            <w:vAlign w:val="center"/>
          </w:tcPr>
          <w:p w14:paraId="5E75D6A7" w14:textId="4FD2D95E" w:rsidR="006B241F" w:rsidRPr="006B241F" w:rsidRDefault="006B241F" w:rsidP="00D71153">
            <w:pPr>
              <w:spacing w:after="0"/>
              <w:jc w:val="center"/>
              <w:rPr>
                <w:rFonts w:asciiTheme="majorHAnsi" w:eastAsia="Times New Roman" w:hAnsiTheme="majorHAnsi" w:cs="Calibri"/>
                <w:i/>
              </w:rPr>
            </w:pPr>
            <w:r>
              <w:rPr>
                <w:rFonts w:asciiTheme="majorHAnsi" w:eastAsia="Times New Roman" w:hAnsiTheme="majorHAnsi" w:cs="Calibri"/>
                <w:i/>
              </w:rPr>
              <w:t>4</w:t>
            </w:r>
          </w:p>
        </w:tc>
      </w:tr>
      <w:tr w:rsidR="006B241F" w:rsidRPr="00D32C3B" w14:paraId="7FACAEA0"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246E8390" w14:textId="4F05C5D9" w:rsidR="006B241F" w:rsidRPr="006B241F" w:rsidRDefault="006B241F" w:rsidP="006B241F">
            <w:pPr>
              <w:spacing w:after="0"/>
              <w:ind w:left="720"/>
              <w:rPr>
                <w:rFonts w:asciiTheme="majorHAnsi" w:eastAsia="Times New Roman" w:hAnsiTheme="majorHAnsi" w:cs="Calibri"/>
                <w:i/>
              </w:rPr>
            </w:pPr>
            <w:r>
              <w:rPr>
                <w:rFonts w:asciiTheme="majorHAnsi" w:eastAsia="Times New Roman" w:hAnsiTheme="majorHAnsi" w:cs="Calibri"/>
                <w:i/>
              </w:rPr>
              <w:t>Health Informatics Coordinator III</w:t>
            </w:r>
          </w:p>
        </w:tc>
        <w:tc>
          <w:tcPr>
            <w:tcW w:w="0" w:type="auto"/>
            <w:tcBorders>
              <w:top w:val="single" w:sz="4" w:space="0" w:color="A9A9A9" w:themeColor="accent5"/>
              <w:bottom w:val="single" w:sz="4" w:space="0" w:color="A9A9A9" w:themeColor="accent5"/>
            </w:tcBorders>
            <w:shd w:val="clear" w:color="auto" w:fill="auto"/>
            <w:vAlign w:val="center"/>
          </w:tcPr>
          <w:p w14:paraId="3EB9F9B0" w14:textId="2D7F165E" w:rsidR="006B241F" w:rsidRPr="006B241F" w:rsidRDefault="006B241F" w:rsidP="00D71153">
            <w:pPr>
              <w:spacing w:after="0"/>
              <w:jc w:val="center"/>
              <w:rPr>
                <w:rFonts w:asciiTheme="majorHAnsi" w:eastAsia="Times New Roman" w:hAnsiTheme="majorHAnsi" w:cs="Calibri"/>
                <w:i/>
              </w:rPr>
            </w:pPr>
            <w:r>
              <w:rPr>
                <w:rFonts w:asciiTheme="majorHAnsi" w:eastAsia="Times New Roman" w:hAnsiTheme="majorHAnsi" w:cs="Calibri"/>
                <w:i/>
              </w:rPr>
              <w:t>2</w:t>
            </w:r>
          </w:p>
        </w:tc>
      </w:tr>
      <w:tr w:rsidR="00D71153" w:rsidRPr="00D32C3B" w14:paraId="4347EC5E" w14:textId="77777777" w:rsidTr="00D71153">
        <w:trPr>
          <w:trHeight w:val="270"/>
          <w:jc w:val="center"/>
        </w:trPr>
        <w:tc>
          <w:tcPr>
            <w:tcW w:w="0" w:type="auto"/>
            <w:tcBorders>
              <w:top w:val="single" w:sz="4" w:space="0" w:color="A9A9A9" w:themeColor="accent5"/>
              <w:bottom w:val="single" w:sz="4" w:space="0" w:color="A9A9A9" w:themeColor="accent5"/>
            </w:tcBorders>
            <w:shd w:val="clear" w:color="auto" w:fill="auto"/>
            <w:vAlign w:val="center"/>
          </w:tcPr>
          <w:p w14:paraId="2EC02CBF" w14:textId="0239D29E" w:rsidR="00D71153" w:rsidRPr="006B241F" w:rsidRDefault="00D71153" w:rsidP="00D71153">
            <w:pPr>
              <w:spacing w:after="0"/>
              <w:rPr>
                <w:b/>
              </w:rPr>
            </w:pPr>
            <w:r w:rsidRPr="006B241F">
              <w:rPr>
                <w:rFonts w:asciiTheme="majorHAnsi" w:hAnsiTheme="majorHAnsi"/>
                <w:b/>
              </w:rPr>
              <w:t>Center for Innovative Public Health Research</w:t>
            </w:r>
          </w:p>
        </w:tc>
        <w:tc>
          <w:tcPr>
            <w:tcW w:w="0" w:type="auto"/>
            <w:tcBorders>
              <w:top w:val="single" w:sz="4" w:space="0" w:color="A9A9A9" w:themeColor="accent5"/>
              <w:bottom w:val="single" w:sz="4" w:space="0" w:color="A9A9A9" w:themeColor="accent5"/>
            </w:tcBorders>
            <w:shd w:val="clear" w:color="auto" w:fill="auto"/>
            <w:vAlign w:val="center"/>
          </w:tcPr>
          <w:p w14:paraId="1D8165F1" w14:textId="7F519990" w:rsidR="00D71153" w:rsidRPr="006B241F" w:rsidRDefault="00D71153" w:rsidP="00D71153">
            <w:pPr>
              <w:spacing w:after="0"/>
              <w:jc w:val="center"/>
              <w:rPr>
                <w:rFonts w:asciiTheme="majorHAnsi" w:eastAsia="Times New Roman" w:hAnsiTheme="majorHAnsi" w:cs="Calibri"/>
                <w:b/>
              </w:rPr>
            </w:pPr>
            <w:r w:rsidRPr="006B241F">
              <w:rPr>
                <w:rFonts w:asciiTheme="majorHAnsi" w:hAnsiTheme="majorHAnsi"/>
                <w:b/>
              </w:rPr>
              <w:t>6</w:t>
            </w:r>
          </w:p>
        </w:tc>
      </w:tr>
      <w:tr w:rsidR="006B241F" w:rsidRPr="00D32C3B" w14:paraId="2B396EE8" w14:textId="77777777" w:rsidTr="00583EC8">
        <w:trPr>
          <w:trHeight w:val="270"/>
          <w:jc w:val="center"/>
        </w:trPr>
        <w:tc>
          <w:tcPr>
            <w:tcW w:w="0" w:type="auto"/>
            <w:tcBorders>
              <w:top w:val="single" w:sz="4" w:space="0" w:color="A9A9A9" w:themeColor="accent5"/>
              <w:bottom w:val="double" w:sz="4" w:space="0" w:color="A9A9A9" w:themeColor="accent5"/>
            </w:tcBorders>
            <w:shd w:val="clear" w:color="auto" w:fill="auto"/>
            <w:vAlign w:val="center"/>
          </w:tcPr>
          <w:p w14:paraId="6BC1A106" w14:textId="0975BE32" w:rsidR="006B241F" w:rsidRDefault="00583EC8" w:rsidP="00D71153">
            <w:pPr>
              <w:spacing w:after="0"/>
              <w:rPr>
                <w:rFonts w:asciiTheme="majorHAnsi" w:hAnsiTheme="majorHAnsi"/>
                <w:b/>
              </w:rPr>
            </w:pPr>
            <w:r>
              <w:rPr>
                <w:rFonts w:asciiTheme="majorHAnsi" w:hAnsiTheme="majorHAnsi"/>
                <w:b/>
              </w:rPr>
              <w:t>Other</w:t>
            </w:r>
          </w:p>
        </w:tc>
        <w:tc>
          <w:tcPr>
            <w:tcW w:w="0" w:type="auto"/>
            <w:tcBorders>
              <w:top w:val="single" w:sz="4" w:space="0" w:color="A9A9A9" w:themeColor="accent5"/>
              <w:bottom w:val="double" w:sz="4" w:space="0" w:color="A9A9A9" w:themeColor="accent5"/>
            </w:tcBorders>
            <w:shd w:val="clear" w:color="auto" w:fill="auto"/>
            <w:vAlign w:val="center"/>
          </w:tcPr>
          <w:p w14:paraId="7E4B5644" w14:textId="5DA36063" w:rsidR="006B241F" w:rsidRPr="006B241F" w:rsidRDefault="00583EC8" w:rsidP="00D71153">
            <w:pPr>
              <w:spacing w:after="0"/>
              <w:jc w:val="center"/>
              <w:rPr>
                <w:rFonts w:asciiTheme="majorHAnsi" w:hAnsiTheme="majorHAnsi"/>
                <w:b/>
              </w:rPr>
            </w:pPr>
            <w:r>
              <w:rPr>
                <w:rFonts w:asciiTheme="majorHAnsi" w:hAnsiTheme="majorHAnsi"/>
                <w:b/>
              </w:rPr>
              <w:t>63</w:t>
            </w:r>
          </w:p>
        </w:tc>
      </w:tr>
      <w:tr w:rsidR="00583EC8" w:rsidRPr="00D32C3B" w14:paraId="636CD200" w14:textId="77777777" w:rsidTr="00583EC8">
        <w:trPr>
          <w:trHeight w:val="270"/>
          <w:jc w:val="center"/>
        </w:trPr>
        <w:tc>
          <w:tcPr>
            <w:tcW w:w="0" w:type="auto"/>
            <w:tcBorders>
              <w:top w:val="double" w:sz="4" w:space="0" w:color="A9A9A9" w:themeColor="accent5"/>
              <w:bottom w:val="single" w:sz="4" w:space="0" w:color="A9A9A9" w:themeColor="accent5"/>
            </w:tcBorders>
            <w:shd w:val="clear" w:color="auto" w:fill="auto"/>
            <w:vAlign w:val="center"/>
          </w:tcPr>
          <w:p w14:paraId="73001C38" w14:textId="126C308F" w:rsidR="00583EC8" w:rsidRDefault="00583EC8" w:rsidP="00583EC8">
            <w:pPr>
              <w:spacing w:after="0"/>
              <w:rPr>
                <w:rFonts w:asciiTheme="majorHAnsi" w:hAnsiTheme="majorHAnsi"/>
                <w:b/>
              </w:rPr>
            </w:pPr>
            <w:r>
              <w:rPr>
                <w:b/>
              </w:rPr>
              <w:t>Total</w:t>
            </w:r>
          </w:p>
        </w:tc>
        <w:tc>
          <w:tcPr>
            <w:tcW w:w="0" w:type="auto"/>
            <w:tcBorders>
              <w:top w:val="double" w:sz="4" w:space="0" w:color="A9A9A9" w:themeColor="accent5"/>
              <w:bottom w:val="single" w:sz="4" w:space="0" w:color="A9A9A9" w:themeColor="accent5"/>
            </w:tcBorders>
            <w:shd w:val="clear" w:color="auto" w:fill="auto"/>
            <w:vAlign w:val="center"/>
          </w:tcPr>
          <w:p w14:paraId="664796B0" w14:textId="5B8FA1D5" w:rsidR="00583EC8" w:rsidRPr="006B241F" w:rsidRDefault="00583EC8" w:rsidP="00583EC8">
            <w:pPr>
              <w:spacing w:after="0"/>
              <w:jc w:val="center"/>
              <w:rPr>
                <w:rFonts w:asciiTheme="majorHAnsi" w:hAnsiTheme="majorHAnsi"/>
                <w:b/>
              </w:rPr>
            </w:pPr>
            <w:r>
              <w:rPr>
                <w:rFonts w:asciiTheme="majorHAnsi" w:eastAsia="Times New Roman" w:hAnsiTheme="majorHAnsi" w:cs="Calibri"/>
                <w:b/>
              </w:rPr>
              <w:t>130</w:t>
            </w:r>
          </w:p>
        </w:tc>
      </w:tr>
    </w:tbl>
    <w:p w14:paraId="1081230C" w14:textId="675756AB" w:rsidR="0075738F" w:rsidRDefault="0075738F" w:rsidP="0077489A">
      <w:pPr>
        <w:rPr>
          <w:rFonts w:asciiTheme="majorHAnsi" w:hAnsiTheme="majorHAnsi"/>
          <w:bCs/>
        </w:rPr>
      </w:pPr>
    </w:p>
    <w:p w14:paraId="33D60355" w14:textId="33055391" w:rsidR="00040EA1" w:rsidRPr="00040EA1" w:rsidRDefault="00040EA1" w:rsidP="004A5B15">
      <w:pPr>
        <w:pStyle w:val="Heading1"/>
      </w:pPr>
      <w:r>
        <w:t>Location</w:t>
      </w:r>
    </w:p>
    <w:p w14:paraId="1CA4DF3A" w14:textId="5AD10908" w:rsidR="004037FA" w:rsidRDefault="004037FA" w:rsidP="0077489A">
      <w:pPr>
        <w:rPr>
          <w:rFonts w:asciiTheme="majorHAnsi" w:hAnsiTheme="majorHAnsi"/>
          <w:bCs/>
        </w:rPr>
      </w:pPr>
      <w:r>
        <w:rPr>
          <w:rFonts w:asciiTheme="majorHAnsi" w:hAnsiTheme="majorHAnsi"/>
          <w:bCs/>
        </w:rPr>
        <w:t>Since this was a statewide job posting search, the counties contributing the m</w:t>
      </w:r>
      <w:r w:rsidR="00D20747">
        <w:rPr>
          <w:rFonts w:asciiTheme="majorHAnsi" w:hAnsiTheme="majorHAnsi"/>
          <w:bCs/>
        </w:rPr>
        <w:t>ost postings appear in exhibit 4</w:t>
      </w:r>
      <w:r>
        <w:rPr>
          <w:rFonts w:asciiTheme="majorHAnsi" w:hAnsiTheme="majorHAnsi"/>
          <w:bCs/>
        </w:rPr>
        <w:t xml:space="preserve">. Los Angeles </w:t>
      </w:r>
      <w:r w:rsidR="003249BB">
        <w:rPr>
          <w:rFonts w:asciiTheme="majorHAnsi" w:hAnsiTheme="majorHAnsi"/>
          <w:bCs/>
        </w:rPr>
        <w:t xml:space="preserve">County </w:t>
      </w:r>
      <w:r>
        <w:rPr>
          <w:rFonts w:asciiTheme="majorHAnsi" w:hAnsiTheme="majorHAnsi"/>
          <w:bCs/>
        </w:rPr>
        <w:t xml:space="preserve">accounted for the largest share of postings with </w:t>
      </w:r>
      <w:r w:rsidR="009F2595">
        <w:rPr>
          <w:rFonts w:asciiTheme="majorHAnsi" w:hAnsiTheme="majorHAnsi"/>
          <w:bCs/>
        </w:rPr>
        <w:t>50</w:t>
      </w:r>
      <w:r>
        <w:rPr>
          <w:rFonts w:asciiTheme="majorHAnsi" w:hAnsiTheme="majorHAnsi"/>
          <w:bCs/>
        </w:rPr>
        <w:t xml:space="preserve"> </w:t>
      </w:r>
      <w:r w:rsidR="003249BB">
        <w:rPr>
          <w:rFonts w:asciiTheme="majorHAnsi" w:hAnsiTheme="majorHAnsi"/>
          <w:bCs/>
        </w:rPr>
        <w:t xml:space="preserve">job ads </w:t>
      </w:r>
      <w:r w:rsidR="009F2595">
        <w:rPr>
          <w:rFonts w:asciiTheme="majorHAnsi" w:hAnsiTheme="majorHAnsi"/>
          <w:bCs/>
        </w:rPr>
        <w:t>(38</w:t>
      </w:r>
      <w:r>
        <w:rPr>
          <w:rFonts w:asciiTheme="majorHAnsi" w:hAnsiTheme="majorHAnsi"/>
          <w:bCs/>
        </w:rPr>
        <w:t xml:space="preserve">% of all PHIT postings), followed by </w:t>
      </w:r>
      <w:r w:rsidR="009F2595">
        <w:rPr>
          <w:rFonts w:asciiTheme="majorHAnsi" w:hAnsiTheme="majorHAnsi"/>
          <w:bCs/>
        </w:rPr>
        <w:t>Orange</w:t>
      </w:r>
      <w:r w:rsidR="003249BB">
        <w:rPr>
          <w:rFonts w:asciiTheme="majorHAnsi" w:hAnsiTheme="majorHAnsi"/>
          <w:bCs/>
        </w:rPr>
        <w:t xml:space="preserve"> with </w:t>
      </w:r>
      <w:r w:rsidR="009F2595">
        <w:rPr>
          <w:rFonts w:asciiTheme="majorHAnsi" w:hAnsiTheme="majorHAnsi"/>
          <w:bCs/>
        </w:rPr>
        <w:t>17 job ads (13</w:t>
      </w:r>
      <w:r w:rsidR="003249BB">
        <w:rPr>
          <w:rFonts w:asciiTheme="majorHAnsi" w:hAnsiTheme="majorHAnsi"/>
          <w:bCs/>
        </w:rPr>
        <w:t xml:space="preserve">% of all PHIT postings), and </w:t>
      </w:r>
      <w:r w:rsidR="009F2595">
        <w:rPr>
          <w:rFonts w:asciiTheme="majorHAnsi" w:hAnsiTheme="majorHAnsi"/>
          <w:bCs/>
        </w:rPr>
        <w:t>San Diego and Sacramento counties</w:t>
      </w:r>
      <w:r w:rsidR="003249BB">
        <w:rPr>
          <w:rFonts w:asciiTheme="majorHAnsi" w:hAnsiTheme="majorHAnsi"/>
          <w:bCs/>
        </w:rPr>
        <w:t xml:space="preserve"> with </w:t>
      </w:r>
      <w:r w:rsidR="009F2595">
        <w:rPr>
          <w:rFonts w:asciiTheme="majorHAnsi" w:hAnsiTheme="majorHAnsi"/>
          <w:bCs/>
        </w:rPr>
        <w:t>nine</w:t>
      </w:r>
      <w:r w:rsidR="003249BB">
        <w:rPr>
          <w:rFonts w:asciiTheme="majorHAnsi" w:hAnsiTheme="majorHAnsi"/>
          <w:bCs/>
        </w:rPr>
        <w:t xml:space="preserve"> job ads</w:t>
      </w:r>
      <w:r w:rsidR="009F2595">
        <w:rPr>
          <w:rFonts w:asciiTheme="majorHAnsi" w:hAnsiTheme="majorHAnsi"/>
          <w:bCs/>
        </w:rPr>
        <w:t xml:space="preserve"> each</w:t>
      </w:r>
      <w:r w:rsidR="003249BB">
        <w:rPr>
          <w:rFonts w:asciiTheme="majorHAnsi" w:hAnsiTheme="majorHAnsi"/>
          <w:bCs/>
        </w:rPr>
        <w:t>.</w:t>
      </w:r>
    </w:p>
    <w:p w14:paraId="3755FEE5" w14:textId="74F41735" w:rsidR="00650D9F" w:rsidRDefault="00650D9F" w:rsidP="00650D9F">
      <w:pPr>
        <w:spacing w:after="0"/>
        <w:jc w:val="center"/>
        <w:rPr>
          <w:rFonts w:asciiTheme="majorHAnsi" w:hAnsiTheme="majorHAnsi"/>
          <w:b/>
          <w:bCs/>
        </w:rPr>
      </w:pPr>
      <w:r w:rsidRPr="004037FA">
        <w:rPr>
          <w:rFonts w:asciiTheme="majorHAnsi" w:hAnsiTheme="majorHAnsi"/>
          <w:b/>
          <w:bCs/>
        </w:rPr>
        <w:t xml:space="preserve">Exhibit </w:t>
      </w:r>
      <w:r w:rsidR="00D20747">
        <w:rPr>
          <w:rFonts w:asciiTheme="majorHAnsi" w:hAnsiTheme="majorHAnsi"/>
          <w:b/>
          <w:bCs/>
        </w:rPr>
        <w:t>4</w:t>
      </w:r>
      <w:r w:rsidRPr="004037FA">
        <w:rPr>
          <w:rFonts w:asciiTheme="majorHAnsi" w:hAnsiTheme="majorHAnsi"/>
          <w:b/>
          <w:bCs/>
        </w:rPr>
        <w:t xml:space="preserve">: Top </w:t>
      </w:r>
      <w:r>
        <w:rPr>
          <w:rFonts w:asciiTheme="majorHAnsi" w:hAnsiTheme="majorHAnsi"/>
          <w:b/>
          <w:bCs/>
        </w:rPr>
        <w:t>counties from PHIT job postings</w:t>
      </w:r>
    </w:p>
    <w:p w14:paraId="532B318E" w14:textId="1CCC21B9" w:rsidR="009F2595" w:rsidRPr="00650D9F" w:rsidRDefault="009F2595" w:rsidP="00650D9F">
      <w:pPr>
        <w:spacing w:after="0"/>
        <w:jc w:val="center"/>
        <w:rPr>
          <w:rFonts w:asciiTheme="majorHAnsi" w:hAnsiTheme="majorHAnsi"/>
          <w:b/>
          <w:bCs/>
        </w:rPr>
      </w:pPr>
      <w:r>
        <w:rPr>
          <w:noProof/>
        </w:rPr>
        <w:drawing>
          <wp:inline distT="0" distB="0" distL="0" distR="0" wp14:anchorId="5E3686C1" wp14:editId="4D6A6AFA">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EBBC6F" w14:textId="486CAFAD" w:rsidR="0075738F" w:rsidRDefault="0075738F" w:rsidP="00650D9F">
      <w:pPr>
        <w:jc w:val="center"/>
        <w:rPr>
          <w:rFonts w:asciiTheme="majorHAnsi" w:hAnsiTheme="majorHAnsi"/>
          <w:bCs/>
        </w:rPr>
      </w:pPr>
    </w:p>
    <w:p w14:paraId="6FE96CCD" w14:textId="403EEAE0" w:rsidR="00040EA1" w:rsidRPr="00040EA1" w:rsidRDefault="00040EA1" w:rsidP="004A5B15">
      <w:pPr>
        <w:pStyle w:val="Heading1"/>
      </w:pPr>
      <w:r w:rsidRPr="00040EA1">
        <w:t>Skills</w:t>
      </w:r>
    </w:p>
    <w:p w14:paraId="1CAD6718" w14:textId="31A28426" w:rsidR="003249BB" w:rsidRDefault="003249BB" w:rsidP="0077489A">
      <w:pPr>
        <w:rPr>
          <w:rFonts w:asciiTheme="majorHAnsi" w:hAnsiTheme="majorHAnsi"/>
          <w:bCs/>
        </w:rPr>
      </w:pPr>
      <w:r>
        <w:rPr>
          <w:rFonts w:asciiTheme="majorHAnsi" w:hAnsiTheme="majorHAnsi"/>
          <w:bCs/>
        </w:rPr>
        <w:t xml:space="preserve">The skills that emerged most frequently from job postings have been clustered into </w:t>
      </w:r>
      <w:r w:rsidR="00FD31B5">
        <w:rPr>
          <w:rFonts w:asciiTheme="majorHAnsi" w:hAnsiTheme="majorHAnsi"/>
          <w:bCs/>
        </w:rPr>
        <w:t>two</w:t>
      </w:r>
      <w:r>
        <w:rPr>
          <w:rFonts w:asciiTheme="majorHAnsi" w:hAnsiTheme="majorHAnsi"/>
          <w:bCs/>
        </w:rPr>
        <w:t xml:space="preserve"> categories– specialized and </w:t>
      </w:r>
      <w:r w:rsidR="008C2C00">
        <w:rPr>
          <w:rFonts w:asciiTheme="majorHAnsi" w:hAnsiTheme="majorHAnsi"/>
          <w:bCs/>
        </w:rPr>
        <w:t>software skills</w:t>
      </w:r>
      <w:r>
        <w:rPr>
          <w:rFonts w:asciiTheme="majorHAnsi" w:hAnsiTheme="majorHAnsi"/>
          <w:bCs/>
        </w:rPr>
        <w:t xml:space="preserve">. </w:t>
      </w:r>
      <w:r w:rsidRPr="003249BB">
        <w:rPr>
          <w:rFonts w:asciiTheme="majorHAnsi" w:hAnsiTheme="majorHAnsi"/>
          <w:bCs/>
        </w:rPr>
        <w:t>Specialized skills are unique to a specific occupation or set of related occupations such as CPR for nurses and other healthcare personnel, food prep for cooks, and surveillance for police officers. Software skills relate to specific computer programs such as QuickBooks, Microsoft Excel, or GIS; or programming languages such as Python, Java, or C+.</w:t>
      </w:r>
      <w:r>
        <w:rPr>
          <w:rFonts w:asciiTheme="majorHAnsi" w:hAnsiTheme="majorHAnsi"/>
          <w:bCs/>
        </w:rPr>
        <w:t xml:space="preserve"> </w:t>
      </w:r>
    </w:p>
    <w:p w14:paraId="47758F5F" w14:textId="0CCF61EB" w:rsidR="008C2C00" w:rsidRDefault="008C2C00" w:rsidP="0077489A">
      <w:pPr>
        <w:rPr>
          <w:rFonts w:asciiTheme="majorHAnsi" w:hAnsiTheme="majorHAnsi"/>
          <w:bCs/>
        </w:rPr>
      </w:pPr>
      <w:r>
        <w:rPr>
          <w:rFonts w:asciiTheme="majorHAnsi" w:hAnsiTheme="majorHAnsi"/>
          <w:bCs/>
        </w:rPr>
        <w:t xml:space="preserve">The specialized and software skills that emerged most frequently were </w:t>
      </w:r>
      <w:r w:rsidR="00CC508C">
        <w:rPr>
          <w:rFonts w:asciiTheme="majorHAnsi" w:hAnsiTheme="majorHAnsi"/>
          <w:bCs/>
        </w:rPr>
        <w:t xml:space="preserve">health informatics </w:t>
      </w:r>
      <w:r>
        <w:rPr>
          <w:rFonts w:asciiTheme="majorHAnsi" w:hAnsiTheme="majorHAnsi"/>
          <w:bCs/>
        </w:rPr>
        <w:t xml:space="preserve">(present in </w:t>
      </w:r>
      <w:r w:rsidR="00CC508C">
        <w:rPr>
          <w:rFonts w:asciiTheme="majorHAnsi" w:hAnsiTheme="majorHAnsi"/>
          <w:bCs/>
        </w:rPr>
        <w:t xml:space="preserve">84 job ads), </w:t>
      </w:r>
      <w:r>
        <w:rPr>
          <w:rFonts w:asciiTheme="majorHAnsi" w:hAnsiTheme="majorHAnsi"/>
          <w:bCs/>
        </w:rPr>
        <w:t xml:space="preserve">SQL, SAS, </w:t>
      </w:r>
      <w:r w:rsidR="00CC508C">
        <w:rPr>
          <w:rFonts w:asciiTheme="majorHAnsi" w:hAnsiTheme="majorHAnsi"/>
          <w:bCs/>
        </w:rPr>
        <w:t xml:space="preserve">SAP BusinessObjects, </w:t>
      </w:r>
      <w:r>
        <w:rPr>
          <w:rFonts w:asciiTheme="majorHAnsi" w:hAnsiTheme="majorHAnsi"/>
          <w:bCs/>
        </w:rPr>
        <w:t xml:space="preserve">and skills related to data </w:t>
      </w:r>
      <w:r w:rsidR="00CC508C">
        <w:rPr>
          <w:rFonts w:asciiTheme="majorHAnsi" w:hAnsiTheme="majorHAnsi"/>
          <w:bCs/>
        </w:rPr>
        <w:t xml:space="preserve">warehousing, </w:t>
      </w:r>
      <w:r>
        <w:rPr>
          <w:rFonts w:asciiTheme="majorHAnsi" w:hAnsiTheme="majorHAnsi"/>
          <w:bCs/>
        </w:rPr>
        <w:t>analysis, management</w:t>
      </w:r>
      <w:r w:rsidR="00CC508C">
        <w:rPr>
          <w:rFonts w:asciiTheme="majorHAnsi" w:hAnsiTheme="majorHAnsi"/>
          <w:bCs/>
        </w:rPr>
        <w:t>, and structures</w:t>
      </w:r>
      <w:r>
        <w:rPr>
          <w:rFonts w:asciiTheme="majorHAnsi" w:hAnsiTheme="majorHAnsi"/>
          <w:bCs/>
        </w:rPr>
        <w:t xml:space="preserve"> </w:t>
      </w:r>
      <w:r w:rsidR="00040EA1">
        <w:rPr>
          <w:rFonts w:asciiTheme="majorHAnsi" w:hAnsiTheme="majorHAnsi"/>
          <w:bCs/>
        </w:rPr>
        <w:t>(</w:t>
      </w:r>
      <w:r w:rsidR="00D20747">
        <w:rPr>
          <w:rFonts w:asciiTheme="majorHAnsi" w:hAnsiTheme="majorHAnsi"/>
          <w:bCs/>
        </w:rPr>
        <w:t xml:space="preserve">see </w:t>
      </w:r>
      <w:r w:rsidR="00FD31B5">
        <w:rPr>
          <w:rFonts w:asciiTheme="majorHAnsi" w:hAnsiTheme="majorHAnsi"/>
          <w:bCs/>
        </w:rPr>
        <w:t>E</w:t>
      </w:r>
      <w:r w:rsidR="00D20747">
        <w:rPr>
          <w:rFonts w:asciiTheme="majorHAnsi" w:hAnsiTheme="majorHAnsi"/>
          <w:bCs/>
        </w:rPr>
        <w:t>xhibit 5</w:t>
      </w:r>
      <w:r w:rsidR="00040EA1">
        <w:rPr>
          <w:rFonts w:asciiTheme="majorHAnsi" w:hAnsiTheme="majorHAnsi"/>
          <w:bCs/>
        </w:rPr>
        <w:t>)</w:t>
      </w:r>
      <w:r>
        <w:rPr>
          <w:rFonts w:asciiTheme="majorHAnsi" w:hAnsiTheme="majorHAnsi"/>
          <w:bCs/>
        </w:rPr>
        <w:t xml:space="preserve">. </w:t>
      </w:r>
    </w:p>
    <w:p w14:paraId="7D444A42" w14:textId="78FDA8E9" w:rsidR="008C2C00" w:rsidRPr="004037FA" w:rsidRDefault="008C2C00" w:rsidP="008C2C00">
      <w:pPr>
        <w:spacing w:after="0"/>
        <w:jc w:val="center"/>
        <w:rPr>
          <w:rFonts w:asciiTheme="majorHAnsi" w:hAnsiTheme="majorHAnsi"/>
          <w:b/>
          <w:bCs/>
        </w:rPr>
      </w:pPr>
      <w:r w:rsidRPr="004037FA">
        <w:rPr>
          <w:rFonts w:asciiTheme="majorHAnsi" w:hAnsiTheme="majorHAnsi"/>
          <w:b/>
          <w:bCs/>
        </w:rPr>
        <w:t xml:space="preserve">Exhibit </w:t>
      </w:r>
      <w:r w:rsidR="00D20747">
        <w:rPr>
          <w:rFonts w:asciiTheme="majorHAnsi" w:hAnsiTheme="majorHAnsi"/>
          <w:b/>
          <w:bCs/>
        </w:rPr>
        <w:t>5</w:t>
      </w:r>
      <w:r w:rsidRPr="004037FA">
        <w:rPr>
          <w:rFonts w:asciiTheme="majorHAnsi" w:hAnsiTheme="majorHAnsi"/>
          <w:b/>
          <w:bCs/>
        </w:rPr>
        <w:t xml:space="preserve">: Top </w:t>
      </w:r>
      <w:r>
        <w:rPr>
          <w:rFonts w:asciiTheme="majorHAnsi" w:hAnsiTheme="majorHAnsi"/>
          <w:b/>
          <w:bCs/>
        </w:rPr>
        <w:t>skills from</w:t>
      </w:r>
      <w:r w:rsidRPr="004037FA">
        <w:rPr>
          <w:rFonts w:asciiTheme="majorHAnsi" w:hAnsiTheme="majorHAnsi"/>
          <w:b/>
          <w:bCs/>
        </w:rPr>
        <w:t xml:space="preserve"> PHIT job postings</w:t>
      </w:r>
    </w:p>
    <w:tbl>
      <w:tblPr>
        <w:tblW w:w="0" w:type="auto"/>
        <w:jc w:val="center"/>
        <w:tblLook w:val="04A0" w:firstRow="1" w:lastRow="0" w:firstColumn="1" w:lastColumn="0" w:noHBand="0" w:noVBand="1"/>
      </w:tblPr>
      <w:tblGrid>
        <w:gridCol w:w="3240"/>
        <w:gridCol w:w="1595"/>
        <w:gridCol w:w="2995"/>
        <w:gridCol w:w="1530"/>
      </w:tblGrid>
      <w:tr w:rsidR="00CB0BC8" w:rsidRPr="00D32C3B" w14:paraId="09476843" w14:textId="0E6EC6A2" w:rsidTr="00CB0BC8">
        <w:trPr>
          <w:trHeight w:val="792"/>
          <w:tblHeader/>
          <w:jc w:val="center"/>
        </w:trPr>
        <w:tc>
          <w:tcPr>
            <w:tcW w:w="3240" w:type="dxa"/>
            <w:tcBorders>
              <w:bottom w:val="single" w:sz="4" w:space="0" w:color="A9A9A9" w:themeColor="accent5"/>
            </w:tcBorders>
            <w:shd w:val="clear" w:color="auto" w:fill="E0EE7C" w:themeFill="accent3" w:themeFillTint="66"/>
            <w:vAlign w:val="center"/>
            <w:hideMark/>
          </w:tcPr>
          <w:p w14:paraId="0838213D" w14:textId="734F906C" w:rsidR="00CB0BC8" w:rsidRPr="00D64823" w:rsidRDefault="00CB0BC8" w:rsidP="008C2C00">
            <w:pPr>
              <w:pStyle w:val="TableColumnTitles"/>
              <w:jc w:val="left"/>
              <w:rPr>
                <w:szCs w:val="24"/>
              </w:rPr>
            </w:pPr>
            <w:r>
              <w:rPr>
                <w:szCs w:val="24"/>
              </w:rPr>
              <w:t xml:space="preserve">Specialized Skill </w:t>
            </w:r>
          </w:p>
        </w:tc>
        <w:tc>
          <w:tcPr>
            <w:tcW w:w="1595" w:type="dxa"/>
            <w:tcBorders>
              <w:bottom w:val="single" w:sz="4" w:space="0" w:color="A9A9A9" w:themeColor="accent5"/>
              <w:right w:val="double" w:sz="4" w:space="0" w:color="A9A9A9" w:themeColor="accent5"/>
            </w:tcBorders>
            <w:shd w:val="clear" w:color="auto" w:fill="E0EE7C" w:themeFill="accent3" w:themeFillTint="66"/>
            <w:vAlign w:val="center"/>
            <w:hideMark/>
          </w:tcPr>
          <w:p w14:paraId="6C5FDF6C" w14:textId="77777777" w:rsidR="00CB0BC8" w:rsidRPr="00D64823" w:rsidRDefault="00CB0BC8" w:rsidP="008C2C00">
            <w:pPr>
              <w:pStyle w:val="TableColumnTitles"/>
              <w:rPr>
                <w:szCs w:val="24"/>
              </w:rPr>
            </w:pPr>
            <w:r>
              <w:rPr>
                <w:szCs w:val="24"/>
              </w:rPr>
              <w:t>Number of Job Postings</w:t>
            </w:r>
          </w:p>
        </w:tc>
        <w:tc>
          <w:tcPr>
            <w:tcW w:w="2995" w:type="dxa"/>
            <w:tcBorders>
              <w:left w:val="double" w:sz="4" w:space="0" w:color="A9A9A9" w:themeColor="accent5"/>
              <w:bottom w:val="single" w:sz="4" w:space="0" w:color="A9A9A9" w:themeColor="accent5"/>
            </w:tcBorders>
            <w:shd w:val="clear" w:color="auto" w:fill="E0EE7C" w:themeFill="accent3" w:themeFillTint="66"/>
            <w:vAlign w:val="center"/>
          </w:tcPr>
          <w:p w14:paraId="3476D253" w14:textId="09251C90" w:rsidR="00CB0BC8" w:rsidRDefault="00CB0BC8" w:rsidP="008C2C00">
            <w:pPr>
              <w:pStyle w:val="TableColumnTitles"/>
              <w:jc w:val="left"/>
              <w:rPr>
                <w:szCs w:val="24"/>
              </w:rPr>
            </w:pPr>
            <w:r>
              <w:rPr>
                <w:szCs w:val="24"/>
              </w:rPr>
              <w:t>Software Skill</w:t>
            </w:r>
          </w:p>
        </w:tc>
        <w:tc>
          <w:tcPr>
            <w:tcW w:w="1530" w:type="dxa"/>
            <w:tcBorders>
              <w:bottom w:val="single" w:sz="4" w:space="0" w:color="A9A9A9" w:themeColor="accent5"/>
            </w:tcBorders>
            <w:shd w:val="clear" w:color="auto" w:fill="E0EE7C" w:themeFill="accent3" w:themeFillTint="66"/>
            <w:vAlign w:val="center"/>
          </w:tcPr>
          <w:p w14:paraId="4AC6E1E2" w14:textId="044993BD" w:rsidR="00CB0BC8" w:rsidRDefault="00CB0BC8" w:rsidP="008C2C00">
            <w:pPr>
              <w:pStyle w:val="TableColumnTitles"/>
              <w:rPr>
                <w:szCs w:val="24"/>
              </w:rPr>
            </w:pPr>
            <w:r>
              <w:rPr>
                <w:szCs w:val="24"/>
              </w:rPr>
              <w:t>Number of Job Postings</w:t>
            </w:r>
          </w:p>
        </w:tc>
      </w:tr>
      <w:tr w:rsidR="00CE77BC" w:rsidRPr="00D32C3B" w14:paraId="43900125" w14:textId="4AD47B4F"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hideMark/>
          </w:tcPr>
          <w:p w14:paraId="137797BA" w14:textId="630AC846" w:rsidR="00CE77BC" w:rsidRPr="008C2C00" w:rsidRDefault="00CE77BC" w:rsidP="00CE77BC">
            <w:pPr>
              <w:spacing w:after="0"/>
              <w:rPr>
                <w:rFonts w:ascii="Tw Cen MT" w:hAnsi="Tw Cen MT"/>
              </w:rPr>
            </w:pPr>
            <w:r w:rsidRPr="008C2C00">
              <w:rPr>
                <w:rFonts w:ascii="Tw Cen MT" w:hAnsi="Tw Cen MT"/>
              </w:rPr>
              <w:t>Health Informatics</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6E0475B0" w14:textId="6FBE21C1" w:rsidR="00CE77BC" w:rsidRPr="008C2C00" w:rsidRDefault="00CE77BC" w:rsidP="00CE77BC">
            <w:pPr>
              <w:spacing w:after="0"/>
              <w:jc w:val="center"/>
              <w:rPr>
                <w:rFonts w:ascii="Tw Cen MT" w:eastAsia="Times New Roman" w:hAnsi="Tw Cen MT" w:cs="Calibri"/>
              </w:rPr>
            </w:pPr>
            <w:r>
              <w:rPr>
                <w:rFonts w:ascii="Tw Cen MT" w:hAnsi="Tw Cen MT"/>
              </w:rPr>
              <w:t>84</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49686D28" w14:textId="7047BDB2" w:rsidR="00CE77BC" w:rsidRPr="00FD31B5" w:rsidRDefault="00CE77BC" w:rsidP="00CE77BC">
            <w:pPr>
              <w:spacing w:after="0"/>
              <w:rPr>
                <w:rFonts w:ascii="Tw Cen MT" w:eastAsia="Times New Roman" w:hAnsi="Tw Cen MT" w:cs="Calibri"/>
              </w:rPr>
            </w:pPr>
            <w:r w:rsidRPr="00FD31B5">
              <w:rPr>
                <w:rFonts w:ascii="Tw Cen MT" w:hAnsi="Tw Cen MT"/>
              </w:rPr>
              <w:t>SQL</w:t>
            </w:r>
          </w:p>
        </w:tc>
        <w:tc>
          <w:tcPr>
            <w:tcW w:w="1530" w:type="dxa"/>
            <w:tcBorders>
              <w:top w:val="single" w:sz="4" w:space="0" w:color="A9A9A9" w:themeColor="accent5"/>
              <w:bottom w:val="single" w:sz="4" w:space="0" w:color="A9A9A9" w:themeColor="accent5"/>
            </w:tcBorders>
            <w:vAlign w:val="center"/>
          </w:tcPr>
          <w:p w14:paraId="548B683B" w14:textId="197B59DB" w:rsidR="00CE77BC" w:rsidRPr="008C2C00" w:rsidRDefault="00CC508C" w:rsidP="00CE77BC">
            <w:pPr>
              <w:spacing w:after="0"/>
              <w:jc w:val="center"/>
              <w:rPr>
                <w:rFonts w:ascii="Tw Cen MT" w:eastAsia="Times New Roman" w:hAnsi="Tw Cen MT" w:cs="Calibri"/>
              </w:rPr>
            </w:pPr>
            <w:r>
              <w:rPr>
                <w:rFonts w:ascii="Tw Cen MT" w:hAnsi="Tw Cen MT"/>
              </w:rPr>
              <w:t>72</w:t>
            </w:r>
          </w:p>
        </w:tc>
      </w:tr>
      <w:tr w:rsidR="00CE77BC" w:rsidRPr="00D32C3B" w14:paraId="4A2C172C" w14:textId="032A73CF"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0688B685" w14:textId="2E45615F" w:rsidR="00CE77BC" w:rsidRPr="008C2C00" w:rsidRDefault="00CE77BC" w:rsidP="00CE77BC">
            <w:pPr>
              <w:spacing w:after="0"/>
              <w:rPr>
                <w:rFonts w:ascii="Tw Cen MT" w:hAnsi="Tw Cen MT" w:cs="Arial"/>
              </w:rPr>
            </w:pPr>
            <w:r w:rsidRPr="008C2C00">
              <w:rPr>
                <w:rFonts w:ascii="Tw Cen MT" w:hAnsi="Tw Cen MT"/>
              </w:rPr>
              <w:t xml:space="preserve">Data </w:t>
            </w:r>
            <w:r>
              <w:rPr>
                <w:rFonts w:ascii="Tw Cen MT" w:hAnsi="Tw Cen MT"/>
              </w:rPr>
              <w:t>Warehousing</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45CECA22" w14:textId="13C1CEDB" w:rsidR="00CE77BC" w:rsidRPr="008C2C00" w:rsidRDefault="00CE77BC" w:rsidP="00CE77BC">
            <w:pPr>
              <w:spacing w:after="0"/>
              <w:jc w:val="center"/>
              <w:rPr>
                <w:rFonts w:ascii="Tw Cen MT" w:hAnsi="Tw Cen MT"/>
              </w:rPr>
            </w:pPr>
            <w:r>
              <w:rPr>
                <w:rFonts w:ascii="Tw Cen MT" w:hAnsi="Tw Cen MT"/>
              </w:rPr>
              <w:t>55</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4BDBD6C9" w14:textId="0B454C34" w:rsidR="00CE77BC" w:rsidRPr="00FD31B5" w:rsidRDefault="00CE77BC" w:rsidP="00CE77BC">
            <w:pPr>
              <w:spacing w:after="0"/>
              <w:rPr>
                <w:rFonts w:ascii="Tw Cen MT" w:hAnsi="Tw Cen MT"/>
              </w:rPr>
            </w:pPr>
            <w:r w:rsidRPr="00FD31B5">
              <w:rPr>
                <w:rFonts w:ascii="Tw Cen MT" w:hAnsi="Tw Cen MT"/>
              </w:rPr>
              <w:t>SAS</w:t>
            </w:r>
          </w:p>
        </w:tc>
        <w:tc>
          <w:tcPr>
            <w:tcW w:w="1530" w:type="dxa"/>
            <w:tcBorders>
              <w:top w:val="single" w:sz="4" w:space="0" w:color="A9A9A9" w:themeColor="accent5"/>
              <w:bottom w:val="single" w:sz="4" w:space="0" w:color="A9A9A9" w:themeColor="accent5"/>
            </w:tcBorders>
            <w:vAlign w:val="center"/>
          </w:tcPr>
          <w:p w14:paraId="0EA96D8C" w14:textId="3E0E846B" w:rsidR="00CE77BC" w:rsidRPr="008C2C00" w:rsidRDefault="00CC508C" w:rsidP="00CE77BC">
            <w:pPr>
              <w:spacing w:after="0"/>
              <w:jc w:val="center"/>
              <w:rPr>
                <w:rFonts w:ascii="Tw Cen MT" w:hAnsi="Tw Cen MT"/>
              </w:rPr>
            </w:pPr>
            <w:r>
              <w:rPr>
                <w:rFonts w:ascii="Tw Cen MT" w:hAnsi="Tw Cen MT"/>
              </w:rPr>
              <w:t>60</w:t>
            </w:r>
          </w:p>
        </w:tc>
      </w:tr>
      <w:tr w:rsidR="00CC508C" w:rsidRPr="00D32C3B" w14:paraId="3A7F4863" w14:textId="14DC40D2"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1881CE8D" w14:textId="55EAC171" w:rsidR="00CC508C" w:rsidRPr="00CB0BC8" w:rsidRDefault="00CC508C" w:rsidP="00CC508C">
            <w:pPr>
              <w:spacing w:after="0"/>
              <w:rPr>
                <w:rFonts w:ascii="Tw Cen MT" w:hAnsi="Tw Cen MT" w:cs="Arial"/>
                <w:strike/>
              </w:rPr>
            </w:pPr>
            <w:r w:rsidRPr="008C2C00">
              <w:rPr>
                <w:rFonts w:ascii="Tw Cen MT" w:hAnsi="Tw Cen MT"/>
              </w:rPr>
              <w:t xml:space="preserve">Data </w:t>
            </w:r>
            <w:r>
              <w:rPr>
                <w:rFonts w:ascii="Tw Cen MT" w:hAnsi="Tw Cen MT"/>
              </w:rPr>
              <w:t>Analysis</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46DDA959" w14:textId="5CFD2B98" w:rsidR="00CC508C" w:rsidRPr="008C2C00" w:rsidRDefault="00CC508C" w:rsidP="00CC508C">
            <w:pPr>
              <w:spacing w:after="0"/>
              <w:jc w:val="center"/>
              <w:rPr>
                <w:rFonts w:ascii="Tw Cen MT" w:hAnsi="Tw Cen MT"/>
              </w:rPr>
            </w:pPr>
            <w:r>
              <w:rPr>
                <w:rFonts w:ascii="Tw Cen MT" w:hAnsi="Tw Cen MT"/>
              </w:rPr>
              <w:t>50</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63215159" w14:textId="52D67512" w:rsidR="00CC508C" w:rsidRPr="00FD31B5" w:rsidRDefault="00CC508C" w:rsidP="00CC508C">
            <w:pPr>
              <w:spacing w:after="0"/>
              <w:rPr>
                <w:rFonts w:ascii="Tw Cen MT" w:hAnsi="Tw Cen MT"/>
              </w:rPr>
            </w:pPr>
            <w:r w:rsidRPr="00FD31B5">
              <w:rPr>
                <w:rFonts w:ascii="Tw Cen MT" w:hAnsi="Tw Cen MT"/>
              </w:rPr>
              <w:t>SAP BusinessObjects</w:t>
            </w:r>
          </w:p>
        </w:tc>
        <w:tc>
          <w:tcPr>
            <w:tcW w:w="1530" w:type="dxa"/>
            <w:tcBorders>
              <w:top w:val="single" w:sz="4" w:space="0" w:color="A9A9A9" w:themeColor="accent5"/>
              <w:bottom w:val="single" w:sz="4" w:space="0" w:color="A9A9A9" w:themeColor="accent5"/>
            </w:tcBorders>
            <w:vAlign w:val="center"/>
          </w:tcPr>
          <w:p w14:paraId="60AF822B" w14:textId="280BD95E" w:rsidR="00CC508C" w:rsidRPr="008C2C00" w:rsidRDefault="00CC508C" w:rsidP="00CC508C">
            <w:pPr>
              <w:spacing w:after="0"/>
              <w:jc w:val="center"/>
              <w:rPr>
                <w:rFonts w:ascii="Tw Cen MT" w:hAnsi="Tw Cen MT"/>
              </w:rPr>
            </w:pPr>
            <w:r>
              <w:rPr>
                <w:rFonts w:ascii="Tw Cen MT" w:hAnsi="Tw Cen MT"/>
              </w:rPr>
              <w:t>50</w:t>
            </w:r>
          </w:p>
        </w:tc>
      </w:tr>
      <w:tr w:rsidR="00CC508C" w:rsidRPr="00D32C3B" w14:paraId="5DB3A0F2" w14:textId="48218935"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4008C572" w14:textId="558F9EB4" w:rsidR="00CC508C" w:rsidRPr="00CB0BC8" w:rsidRDefault="00CC508C" w:rsidP="00CC508C">
            <w:pPr>
              <w:spacing w:after="0"/>
              <w:rPr>
                <w:rFonts w:ascii="Tw Cen MT" w:hAnsi="Tw Cen MT" w:cs="Arial"/>
                <w:strike/>
              </w:rPr>
            </w:pPr>
            <w:r w:rsidRPr="008C2C00">
              <w:rPr>
                <w:rFonts w:ascii="Tw Cen MT" w:hAnsi="Tw Cen MT"/>
              </w:rPr>
              <w:t>Enterprise Software</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2B8B8B32" w14:textId="78DB2304" w:rsidR="00CC508C" w:rsidRPr="008C2C00" w:rsidRDefault="00CC508C" w:rsidP="00CC508C">
            <w:pPr>
              <w:spacing w:after="0"/>
              <w:jc w:val="center"/>
              <w:rPr>
                <w:rFonts w:ascii="Tw Cen MT" w:hAnsi="Tw Cen MT"/>
              </w:rPr>
            </w:pPr>
            <w:r w:rsidRPr="008C2C00">
              <w:rPr>
                <w:rFonts w:ascii="Tw Cen MT" w:hAnsi="Tw Cen MT"/>
              </w:rPr>
              <w:t>46</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369D90C6" w14:textId="3DF887A7" w:rsidR="00CC508C" w:rsidRPr="00FD31B5" w:rsidRDefault="00CC508C" w:rsidP="00CC508C">
            <w:pPr>
              <w:spacing w:after="0"/>
              <w:rPr>
                <w:rFonts w:ascii="Tw Cen MT" w:hAnsi="Tw Cen MT"/>
              </w:rPr>
            </w:pPr>
            <w:r>
              <w:rPr>
                <w:rFonts w:ascii="Tw Cen MT" w:hAnsi="Tw Cen MT"/>
              </w:rPr>
              <w:t>Microsoft Excel</w:t>
            </w:r>
          </w:p>
        </w:tc>
        <w:tc>
          <w:tcPr>
            <w:tcW w:w="1530" w:type="dxa"/>
            <w:tcBorders>
              <w:top w:val="single" w:sz="4" w:space="0" w:color="A9A9A9" w:themeColor="accent5"/>
              <w:bottom w:val="single" w:sz="4" w:space="0" w:color="A9A9A9" w:themeColor="accent5"/>
            </w:tcBorders>
            <w:vAlign w:val="center"/>
          </w:tcPr>
          <w:p w14:paraId="49998B13" w14:textId="51F4EA14" w:rsidR="00CC508C" w:rsidRPr="008C2C00" w:rsidRDefault="00CC508C" w:rsidP="00CC508C">
            <w:pPr>
              <w:spacing w:after="0"/>
              <w:jc w:val="center"/>
              <w:rPr>
                <w:rFonts w:ascii="Tw Cen MT" w:hAnsi="Tw Cen MT"/>
              </w:rPr>
            </w:pPr>
            <w:r>
              <w:rPr>
                <w:rFonts w:ascii="Tw Cen MT" w:hAnsi="Tw Cen MT"/>
              </w:rPr>
              <w:t>43</w:t>
            </w:r>
          </w:p>
        </w:tc>
      </w:tr>
      <w:tr w:rsidR="00CC508C" w:rsidRPr="00D32C3B" w14:paraId="6441F524" w14:textId="2279230F"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4F324279" w14:textId="18E3CECD" w:rsidR="00CC508C" w:rsidRPr="008C2C00" w:rsidRDefault="00CC508C" w:rsidP="00CC508C">
            <w:pPr>
              <w:spacing w:after="0"/>
              <w:rPr>
                <w:rFonts w:ascii="Tw Cen MT" w:hAnsi="Tw Cen MT" w:cs="Arial"/>
              </w:rPr>
            </w:pPr>
            <w:r>
              <w:rPr>
                <w:rFonts w:ascii="Tw Cen MT" w:hAnsi="Tw Cen MT"/>
              </w:rPr>
              <w:t>Public Health and Safety</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562CFEA3" w14:textId="6D60C7EA" w:rsidR="00CC508C" w:rsidRPr="008C2C00" w:rsidRDefault="00CC508C" w:rsidP="00CC508C">
            <w:pPr>
              <w:spacing w:after="0"/>
              <w:jc w:val="center"/>
              <w:rPr>
                <w:rFonts w:ascii="Tw Cen MT" w:hAnsi="Tw Cen MT"/>
              </w:rPr>
            </w:pPr>
            <w:r>
              <w:rPr>
                <w:rFonts w:ascii="Tw Cen MT" w:hAnsi="Tw Cen MT"/>
              </w:rPr>
              <w:t>42</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6D7AC295" w14:textId="75A55564" w:rsidR="00CC508C" w:rsidRPr="00FD31B5" w:rsidRDefault="00CC508C" w:rsidP="00CC508C">
            <w:pPr>
              <w:spacing w:after="0"/>
              <w:rPr>
                <w:rFonts w:ascii="Tw Cen MT" w:hAnsi="Tw Cen MT"/>
              </w:rPr>
            </w:pPr>
            <w:r w:rsidRPr="00FD31B5">
              <w:rPr>
                <w:rFonts w:ascii="Tw Cen MT" w:hAnsi="Tw Cen MT"/>
              </w:rPr>
              <w:t>Macros</w:t>
            </w:r>
          </w:p>
        </w:tc>
        <w:tc>
          <w:tcPr>
            <w:tcW w:w="1530" w:type="dxa"/>
            <w:tcBorders>
              <w:top w:val="single" w:sz="4" w:space="0" w:color="A9A9A9" w:themeColor="accent5"/>
              <w:bottom w:val="single" w:sz="4" w:space="0" w:color="A9A9A9" w:themeColor="accent5"/>
            </w:tcBorders>
            <w:vAlign w:val="center"/>
          </w:tcPr>
          <w:p w14:paraId="1C42B10C" w14:textId="75589B52" w:rsidR="00CC508C" w:rsidRPr="008C2C00" w:rsidRDefault="00CC508C" w:rsidP="00CC508C">
            <w:pPr>
              <w:spacing w:after="0"/>
              <w:jc w:val="center"/>
              <w:rPr>
                <w:rFonts w:ascii="Tw Cen MT" w:hAnsi="Tw Cen MT"/>
              </w:rPr>
            </w:pPr>
            <w:r w:rsidRPr="008C2C00">
              <w:rPr>
                <w:rFonts w:ascii="Tw Cen MT" w:hAnsi="Tw Cen MT"/>
              </w:rPr>
              <w:t>18</w:t>
            </w:r>
          </w:p>
        </w:tc>
      </w:tr>
      <w:tr w:rsidR="00CC508C" w:rsidRPr="00D32C3B" w14:paraId="1C795B65" w14:textId="458ECE7C"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51666083" w14:textId="64467367" w:rsidR="00CC508C" w:rsidRPr="008C2C00" w:rsidRDefault="00CC508C" w:rsidP="00CC508C">
            <w:pPr>
              <w:spacing w:after="0"/>
              <w:rPr>
                <w:rFonts w:ascii="Tw Cen MT" w:hAnsi="Tw Cen MT" w:cs="Arial"/>
              </w:rPr>
            </w:pPr>
            <w:r>
              <w:rPr>
                <w:rFonts w:ascii="Tw Cen MT" w:hAnsi="Tw Cen MT"/>
              </w:rPr>
              <w:t>Data Management</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5F9153C9" w14:textId="5CE354EE" w:rsidR="00CC508C" w:rsidRPr="008C2C00" w:rsidRDefault="00CC508C" w:rsidP="00CC508C">
            <w:pPr>
              <w:spacing w:after="0"/>
              <w:jc w:val="center"/>
              <w:rPr>
                <w:rFonts w:ascii="Tw Cen MT" w:hAnsi="Tw Cen MT"/>
              </w:rPr>
            </w:pPr>
            <w:r>
              <w:rPr>
                <w:rFonts w:ascii="Tw Cen MT" w:hAnsi="Tw Cen MT"/>
              </w:rPr>
              <w:t>39</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079C404E" w14:textId="3985B7B4" w:rsidR="00CC508C" w:rsidRPr="00FD31B5" w:rsidRDefault="00CC508C" w:rsidP="00CC508C">
            <w:pPr>
              <w:spacing w:after="0"/>
              <w:rPr>
                <w:rFonts w:ascii="Tw Cen MT" w:hAnsi="Tw Cen MT"/>
              </w:rPr>
            </w:pPr>
            <w:r>
              <w:rPr>
                <w:rFonts w:ascii="Tw Cen MT" w:hAnsi="Tw Cen MT"/>
              </w:rPr>
              <w:t>Pivot Tables</w:t>
            </w:r>
          </w:p>
        </w:tc>
        <w:tc>
          <w:tcPr>
            <w:tcW w:w="1530" w:type="dxa"/>
            <w:tcBorders>
              <w:top w:val="single" w:sz="4" w:space="0" w:color="A9A9A9" w:themeColor="accent5"/>
              <w:bottom w:val="single" w:sz="4" w:space="0" w:color="A9A9A9" w:themeColor="accent5"/>
            </w:tcBorders>
            <w:vAlign w:val="center"/>
          </w:tcPr>
          <w:p w14:paraId="12943C92" w14:textId="4BFFCA3A" w:rsidR="00CC508C" w:rsidRPr="008C2C00" w:rsidRDefault="00CC508C" w:rsidP="00CC508C">
            <w:pPr>
              <w:spacing w:after="0"/>
              <w:jc w:val="center"/>
              <w:rPr>
                <w:rFonts w:ascii="Tw Cen MT" w:hAnsi="Tw Cen MT"/>
              </w:rPr>
            </w:pPr>
            <w:r>
              <w:rPr>
                <w:rFonts w:ascii="Tw Cen MT" w:hAnsi="Tw Cen MT"/>
              </w:rPr>
              <w:t>17</w:t>
            </w:r>
          </w:p>
        </w:tc>
      </w:tr>
      <w:tr w:rsidR="00CC508C" w:rsidRPr="00D32C3B" w14:paraId="3932A62E" w14:textId="5BE4787E"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76B40010" w14:textId="31E76CD8" w:rsidR="00CC508C" w:rsidRPr="008C2C00" w:rsidRDefault="00CC508C" w:rsidP="00CC508C">
            <w:pPr>
              <w:spacing w:after="0"/>
              <w:rPr>
                <w:rFonts w:ascii="Tw Cen MT" w:hAnsi="Tw Cen MT" w:cs="Arial"/>
              </w:rPr>
            </w:pPr>
            <w:r>
              <w:rPr>
                <w:rFonts w:ascii="Tw Cen MT" w:hAnsi="Tw Cen MT" w:cs="Arial"/>
              </w:rPr>
              <w:t>Data Structures</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727365DD" w14:textId="4E52A6C6" w:rsidR="00CC508C" w:rsidRPr="008C2C00" w:rsidRDefault="00CC508C" w:rsidP="00CC508C">
            <w:pPr>
              <w:spacing w:after="0"/>
              <w:jc w:val="center"/>
              <w:rPr>
                <w:rFonts w:ascii="Tw Cen MT" w:hAnsi="Tw Cen MT"/>
              </w:rPr>
            </w:pPr>
            <w:r>
              <w:rPr>
                <w:rFonts w:ascii="Tw Cen MT" w:hAnsi="Tw Cen MT"/>
              </w:rPr>
              <w:t>34</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279109C3" w14:textId="1F779429" w:rsidR="00CC508C" w:rsidRPr="00FD31B5" w:rsidRDefault="00CC508C" w:rsidP="00CC508C">
            <w:pPr>
              <w:spacing w:after="0"/>
              <w:rPr>
                <w:rFonts w:ascii="Tw Cen MT" w:hAnsi="Tw Cen MT"/>
              </w:rPr>
            </w:pPr>
            <w:r w:rsidRPr="00FD31B5">
              <w:rPr>
                <w:rFonts w:ascii="Tw Cen MT" w:hAnsi="Tw Cen MT"/>
              </w:rPr>
              <w:t>Microsoft Access</w:t>
            </w:r>
          </w:p>
        </w:tc>
        <w:tc>
          <w:tcPr>
            <w:tcW w:w="1530" w:type="dxa"/>
            <w:tcBorders>
              <w:top w:val="single" w:sz="4" w:space="0" w:color="A9A9A9" w:themeColor="accent5"/>
              <w:bottom w:val="single" w:sz="4" w:space="0" w:color="A9A9A9" w:themeColor="accent5"/>
            </w:tcBorders>
            <w:vAlign w:val="center"/>
          </w:tcPr>
          <w:p w14:paraId="66EF503D" w14:textId="4FEBB449" w:rsidR="00CC508C" w:rsidRPr="008C2C00" w:rsidRDefault="00CC508C" w:rsidP="00CC508C">
            <w:pPr>
              <w:spacing w:after="0"/>
              <w:jc w:val="center"/>
              <w:rPr>
                <w:rFonts w:ascii="Tw Cen MT" w:hAnsi="Tw Cen MT"/>
              </w:rPr>
            </w:pPr>
            <w:r>
              <w:rPr>
                <w:rFonts w:ascii="Tw Cen MT" w:hAnsi="Tw Cen MT"/>
              </w:rPr>
              <w:t>14</w:t>
            </w:r>
          </w:p>
        </w:tc>
      </w:tr>
      <w:tr w:rsidR="00CC508C" w:rsidRPr="00D32C3B" w14:paraId="6B6A737D" w14:textId="77777777"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6761B0A8" w14:textId="4CB6CF6C" w:rsidR="00CC508C" w:rsidRPr="00CB0BC8" w:rsidRDefault="00CC508C" w:rsidP="00CC508C">
            <w:pPr>
              <w:spacing w:after="0"/>
              <w:rPr>
                <w:rFonts w:ascii="Tw Cen MT" w:hAnsi="Tw Cen MT" w:cs="Arial"/>
              </w:rPr>
            </w:pPr>
            <w:r w:rsidRPr="00CC508C">
              <w:rPr>
                <w:rFonts w:ascii="Tw Cen MT" w:hAnsi="Tw Cen MT" w:cs="Arial"/>
              </w:rPr>
              <w:t>Project Planning and Development Skills</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29C30542" w14:textId="19B0AEFC" w:rsidR="00CC508C" w:rsidRPr="00CB0BC8" w:rsidRDefault="00CC508C" w:rsidP="00CC508C">
            <w:pPr>
              <w:spacing w:after="0"/>
              <w:jc w:val="center"/>
              <w:rPr>
                <w:rFonts w:ascii="Tw Cen MT" w:hAnsi="Tw Cen MT"/>
              </w:rPr>
            </w:pPr>
            <w:r>
              <w:rPr>
                <w:rFonts w:ascii="Tw Cen MT" w:hAnsi="Tw Cen MT"/>
              </w:rPr>
              <w:t>34</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5EE36CE3" w14:textId="54F25E81" w:rsidR="00CC508C" w:rsidRPr="008C2C00" w:rsidRDefault="00CC508C" w:rsidP="00CC508C">
            <w:pPr>
              <w:spacing w:after="0"/>
              <w:rPr>
                <w:rFonts w:ascii="Tw Cen MT" w:hAnsi="Tw Cen MT"/>
              </w:rPr>
            </w:pPr>
            <w:r>
              <w:rPr>
                <w:rFonts w:ascii="Tw Cen MT" w:hAnsi="Tw Cen MT"/>
              </w:rPr>
              <w:t>Tableau</w:t>
            </w:r>
          </w:p>
        </w:tc>
        <w:tc>
          <w:tcPr>
            <w:tcW w:w="1530" w:type="dxa"/>
            <w:tcBorders>
              <w:top w:val="single" w:sz="4" w:space="0" w:color="A9A9A9" w:themeColor="accent5"/>
              <w:bottom w:val="single" w:sz="4" w:space="0" w:color="A9A9A9" w:themeColor="accent5"/>
            </w:tcBorders>
            <w:vAlign w:val="center"/>
          </w:tcPr>
          <w:p w14:paraId="55D51A9A" w14:textId="6303E97A" w:rsidR="00CC508C" w:rsidRPr="008C2C00" w:rsidRDefault="00CC508C" w:rsidP="00CC508C">
            <w:pPr>
              <w:spacing w:after="0"/>
              <w:jc w:val="center"/>
              <w:rPr>
                <w:rFonts w:ascii="Tw Cen MT" w:hAnsi="Tw Cen MT"/>
              </w:rPr>
            </w:pPr>
            <w:r>
              <w:rPr>
                <w:rFonts w:ascii="Tw Cen MT" w:hAnsi="Tw Cen MT"/>
              </w:rPr>
              <w:t>12</w:t>
            </w:r>
          </w:p>
        </w:tc>
      </w:tr>
      <w:tr w:rsidR="00CC508C" w:rsidRPr="00D32C3B" w14:paraId="7EDAD0F1" w14:textId="77777777" w:rsidTr="00CB0BC8">
        <w:trPr>
          <w:trHeight w:val="270"/>
          <w:jc w:val="center"/>
        </w:trPr>
        <w:tc>
          <w:tcPr>
            <w:tcW w:w="3240" w:type="dxa"/>
            <w:tcBorders>
              <w:top w:val="single" w:sz="4" w:space="0" w:color="A9A9A9" w:themeColor="accent5"/>
              <w:bottom w:val="single" w:sz="4" w:space="0" w:color="A9A9A9" w:themeColor="accent5"/>
            </w:tcBorders>
            <w:shd w:val="clear" w:color="auto" w:fill="auto"/>
            <w:vAlign w:val="center"/>
          </w:tcPr>
          <w:p w14:paraId="6DDD71AD" w14:textId="776C3613" w:rsidR="00CC508C" w:rsidRPr="00CB0BC8" w:rsidRDefault="00CC508C" w:rsidP="00CC508C">
            <w:pPr>
              <w:spacing w:after="0"/>
              <w:rPr>
                <w:rFonts w:ascii="Tw Cen MT" w:hAnsi="Tw Cen MT" w:cs="Arial"/>
              </w:rPr>
            </w:pPr>
            <w:r>
              <w:rPr>
                <w:rFonts w:ascii="Tw Cen MT" w:hAnsi="Tw Cen MT" w:cs="Arial"/>
              </w:rPr>
              <w:t>Data Mining</w:t>
            </w:r>
          </w:p>
        </w:tc>
        <w:tc>
          <w:tcPr>
            <w:tcW w:w="1595" w:type="dxa"/>
            <w:tcBorders>
              <w:top w:val="single" w:sz="4" w:space="0" w:color="A9A9A9" w:themeColor="accent5"/>
              <w:bottom w:val="single" w:sz="4" w:space="0" w:color="A9A9A9" w:themeColor="accent5"/>
              <w:right w:val="double" w:sz="4" w:space="0" w:color="A9A9A9" w:themeColor="accent5"/>
            </w:tcBorders>
            <w:shd w:val="clear" w:color="auto" w:fill="auto"/>
            <w:vAlign w:val="center"/>
          </w:tcPr>
          <w:p w14:paraId="635EF002" w14:textId="3C44FB6D" w:rsidR="00CC508C" w:rsidRPr="00CB0BC8" w:rsidRDefault="00CC508C" w:rsidP="00CC508C">
            <w:pPr>
              <w:spacing w:after="0"/>
              <w:jc w:val="center"/>
              <w:rPr>
                <w:rFonts w:ascii="Tw Cen MT" w:hAnsi="Tw Cen MT"/>
              </w:rPr>
            </w:pPr>
            <w:r>
              <w:rPr>
                <w:rFonts w:ascii="Tw Cen MT" w:hAnsi="Tw Cen MT"/>
              </w:rPr>
              <w:t>31</w:t>
            </w:r>
          </w:p>
        </w:tc>
        <w:tc>
          <w:tcPr>
            <w:tcW w:w="2995" w:type="dxa"/>
            <w:tcBorders>
              <w:top w:val="single" w:sz="4" w:space="0" w:color="A9A9A9" w:themeColor="accent5"/>
              <w:left w:val="double" w:sz="4" w:space="0" w:color="A9A9A9" w:themeColor="accent5"/>
              <w:bottom w:val="single" w:sz="4" w:space="0" w:color="A9A9A9" w:themeColor="accent5"/>
            </w:tcBorders>
            <w:vAlign w:val="center"/>
          </w:tcPr>
          <w:p w14:paraId="636DB492" w14:textId="3844EFEC" w:rsidR="00CC508C" w:rsidRPr="008C2C00" w:rsidRDefault="00CC508C" w:rsidP="00CC508C">
            <w:pPr>
              <w:spacing w:after="0"/>
              <w:rPr>
                <w:rFonts w:ascii="Tw Cen MT" w:hAnsi="Tw Cen MT"/>
              </w:rPr>
            </w:pPr>
            <w:r>
              <w:rPr>
                <w:rFonts w:ascii="Tw Cen MT" w:hAnsi="Tw Cen MT"/>
              </w:rPr>
              <w:t>ICD-10*</w:t>
            </w:r>
          </w:p>
        </w:tc>
        <w:tc>
          <w:tcPr>
            <w:tcW w:w="1530" w:type="dxa"/>
            <w:tcBorders>
              <w:top w:val="single" w:sz="4" w:space="0" w:color="A9A9A9" w:themeColor="accent5"/>
              <w:bottom w:val="single" w:sz="4" w:space="0" w:color="A9A9A9" w:themeColor="accent5"/>
            </w:tcBorders>
            <w:vAlign w:val="center"/>
          </w:tcPr>
          <w:p w14:paraId="02B54313" w14:textId="0D3B03D7" w:rsidR="00CC508C" w:rsidRPr="008C2C00" w:rsidRDefault="00CC508C" w:rsidP="00CC508C">
            <w:pPr>
              <w:spacing w:after="0"/>
              <w:jc w:val="center"/>
              <w:rPr>
                <w:rFonts w:ascii="Tw Cen MT" w:hAnsi="Tw Cen MT"/>
              </w:rPr>
            </w:pPr>
            <w:r>
              <w:rPr>
                <w:rFonts w:ascii="Tw Cen MT" w:hAnsi="Tw Cen MT"/>
              </w:rPr>
              <w:t>7</w:t>
            </w:r>
          </w:p>
        </w:tc>
      </w:tr>
    </w:tbl>
    <w:p w14:paraId="54165A03" w14:textId="4228D614" w:rsidR="008C2C00" w:rsidRPr="00FD31B5" w:rsidRDefault="00FD31B5" w:rsidP="0077489A">
      <w:pPr>
        <w:rPr>
          <w:rFonts w:asciiTheme="majorHAnsi" w:hAnsiTheme="majorHAnsi"/>
          <w:bCs/>
          <w:i/>
          <w:sz w:val="22"/>
        </w:rPr>
      </w:pPr>
      <w:r w:rsidRPr="00FD31B5">
        <w:rPr>
          <w:rFonts w:asciiTheme="majorHAnsi" w:hAnsiTheme="majorHAnsi"/>
          <w:bCs/>
          <w:i/>
          <w:sz w:val="22"/>
        </w:rPr>
        <w:t>*ICD-10 is the 10th revision of the International Statistical Classification of Diseases and Related Health Problems (ICD), a medical classification list by the World Health Organization (WHO).</w:t>
      </w:r>
    </w:p>
    <w:p w14:paraId="69B3E28B" w14:textId="731F4B02" w:rsidR="00040EA1" w:rsidRDefault="00040EA1" w:rsidP="004A5B15">
      <w:pPr>
        <w:pStyle w:val="Heading1"/>
      </w:pPr>
      <w:r w:rsidRPr="00040EA1">
        <w:t>Education</w:t>
      </w:r>
    </w:p>
    <w:p w14:paraId="2B554F5B" w14:textId="6BCAD237" w:rsidR="00040EA1" w:rsidRDefault="00040EA1" w:rsidP="0077489A">
      <w:pPr>
        <w:rPr>
          <w:rFonts w:asciiTheme="majorHAnsi" w:hAnsiTheme="majorHAnsi"/>
          <w:bCs/>
        </w:rPr>
      </w:pPr>
      <w:r w:rsidRPr="00040EA1">
        <w:rPr>
          <w:rFonts w:asciiTheme="majorHAnsi" w:hAnsiTheme="majorHAnsi"/>
          <w:bCs/>
        </w:rPr>
        <w:t xml:space="preserve">Employers </w:t>
      </w:r>
      <w:r>
        <w:rPr>
          <w:rFonts w:asciiTheme="majorHAnsi" w:hAnsiTheme="majorHAnsi"/>
          <w:bCs/>
        </w:rPr>
        <w:t>overwhelming</w:t>
      </w:r>
      <w:r w:rsidR="008F32AE">
        <w:rPr>
          <w:rFonts w:asciiTheme="majorHAnsi" w:hAnsiTheme="majorHAnsi"/>
          <w:bCs/>
        </w:rPr>
        <w:t xml:space="preserve"> prefer</w:t>
      </w:r>
      <w:r>
        <w:rPr>
          <w:rFonts w:asciiTheme="majorHAnsi" w:hAnsiTheme="majorHAnsi"/>
          <w:bCs/>
        </w:rPr>
        <w:t xml:space="preserve"> candidates with a bachelor’s degree for PHIT jobs</w:t>
      </w:r>
      <w:r w:rsidR="00650D9F">
        <w:rPr>
          <w:rFonts w:asciiTheme="majorHAnsi" w:hAnsiTheme="majorHAnsi"/>
          <w:bCs/>
        </w:rPr>
        <w:t xml:space="preserve"> (</w:t>
      </w:r>
      <w:r w:rsidR="00CC508C">
        <w:rPr>
          <w:rFonts w:asciiTheme="majorHAnsi" w:hAnsiTheme="majorHAnsi"/>
          <w:bCs/>
        </w:rPr>
        <w:t>see E</w:t>
      </w:r>
      <w:r w:rsidR="00D20747">
        <w:rPr>
          <w:rFonts w:asciiTheme="majorHAnsi" w:hAnsiTheme="majorHAnsi"/>
          <w:bCs/>
        </w:rPr>
        <w:t>xhibit 6</w:t>
      </w:r>
      <w:r w:rsidR="00650D9F">
        <w:rPr>
          <w:rFonts w:asciiTheme="majorHAnsi" w:hAnsiTheme="majorHAnsi"/>
          <w:bCs/>
        </w:rPr>
        <w:t>)</w:t>
      </w:r>
      <w:r>
        <w:rPr>
          <w:rFonts w:asciiTheme="majorHAnsi" w:hAnsiTheme="majorHAnsi"/>
          <w:bCs/>
        </w:rPr>
        <w:t xml:space="preserve">. Of the </w:t>
      </w:r>
      <w:r w:rsidR="00CC508C">
        <w:rPr>
          <w:rFonts w:asciiTheme="majorHAnsi" w:hAnsiTheme="majorHAnsi"/>
          <w:bCs/>
        </w:rPr>
        <w:t>113</w:t>
      </w:r>
      <w:r>
        <w:rPr>
          <w:rFonts w:asciiTheme="majorHAnsi" w:hAnsiTheme="majorHAnsi"/>
          <w:bCs/>
        </w:rPr>
        <w:t xml:space="preserve"> job postings that listed a minimu</w:t>
      </w:r>
      <w:r w:rsidR="00CC508C">
        <w:rPr>
          <w:rFonts w:asciiTheme="majorHAnsi" w:hAnsiTheme="majorHAnsi"/>
          <w:bCs/>
        </w:rPr>
        <w:t>m education requirement, 84</w:t>
      </w:r>
      <w:r>
        <w:rPr>
          <w:rFonts w:asciiTheme="majorHAnsi" w:hAnsiTheme="majorHAnsi"/>
          <w:bCs/>
        </w:rPr>
        <w:t>% (</w:t>
      </w:r>
      <w:r w:rsidR="00CC508C">
        <w:rPr>
          <w:rFonts w:asciiTheme="majorHAnsi" w:hAnsiTheme="majorHAnsi"/>
          <w:bCs/>
        </w:rPr>
        <w:t>95</w:t>
      </w:r>
      <w:r>
        <w:rPr>
          <w:rFonts w:asciiTheme="majorHAnsi" w:hAnsiTheme="majorHAnsi"/>
          <w:bCs/>
        </w:rPr>
        <w:t xml:space="preserve"> </w:t>
      </w:r>
      <w:r w:rsidR="005571CC">
        <w:rPr>
          <w:rFonts w:asciiTheme="majorHAnsi" w:hAnsiTheme="majorHAnsi"/>
          <w:bCs/>
        </w:rPr>
        <w:t>postings</w:t>
      </w:r>
      <w:r>
        <w:rPr>
          <w:rFonts w:asciiTheme="majorHAnsi" w:hAnsiTheme="majorHAnsi"/>
          <w:bCs/>
        </w:rPr>
        <w:t>) requested candidates with a bachelor’s degree.</w:t>
      </w:r>
      <w:r w:rsidR="005571CC">
        <w:rPr>
          <w:rStyle w:val="FootnoteReference"/>
          <w:rFonts w:asciiTheme="majorHAnsi" w:hAnsiTheme="majorHAnsi"/>
          <w:bCs/>
        </w:rPr>
        <w:footnoteReference w:id="4"/>
      </w:r>
      <w:r w:rsidR="00CC508C">
        <w:rPr>
          <w:rFonts w:asciiTheme="majorHAnsi" w:hAnsiTheme="majorHAnsi"/>
          <w:bCs/>
        </w:rPr>
        <w:t xml:space="preserve"> The most commonly sought degrees were Public Health, Statistics, Mathematics, Computer Science, Epidemiology, and Medical Informatics.</w:t>
      </w:r>
    </w:p>
    <w:p w14:paraId="7FDF08B4" w14:textId="77777777" w:rsidR="00CC508C" w:rsidRPr="00040EA1" w:rsidRDefault="00CC508C" w:rsidP="00CC508C">
      <w:pPr>
        <w:spacing w:after="0"/>
        <w:jc w:val="center"/>
        <w:rPr>
          <w:rFonts w:asciiTheme="majorHAnsi" w:hAnsiTheme="majorHAnsi"/>
          <w:b/>
          <w:bCs/>
        </w:rPr>
      </w:pPr>
      <w:r w:rsidRPr="004037FA">
        <w:rPr>
          <w:rFonts w:asciiTheme="majorHAnsi" w:hAnsiTheme="majorHAnsi"/>
          <w:b/>
          <w:bCs/>
        </w:rPr>
        <w:t xml:space="preserve">Exhibit </w:t>
      </w:r>
      <w:r>
        <w:rPr>
          <w:rFonts w:asciiTheme="majorHAnsi" w:hAnsiTheme="majorHAnsi"/>
          <w:b/>
          <w:bCs/>
        </w:rPr>
        <w:t>6</w:t>
      </w:r>
      <w:r w:rsidRPr="004037FA">
        <w:rPr>
          <w:rFonts w:asciiTheme="majorHAnsi" w:hAnsiTheme="majorHAnsi"/>
          <w:b/>
          <w:bCs/>
        </w:rPr>
        <w:t xml:space="preserve">: </w:t>
      </w:r>
      <w:r>
        <w:rPr>
          <w:rFonts w:asciiTheme="majorHAnsi" w:hAnsiTheme="majorHAnsi"/>
          <w:b/>
          <w:bCs/>
        </w:rPr>
        <w:t>Minimum education requirements from PHIT job postings</w:t>
      </w:r>
    </w:p>
    <w:p w14:paraId="5691C3AA" w14:textId="4F13B7CB" w:rsidR="00040EA1" w:rsidRDefault="00CC508C" w:rsidP="00CC508C">
      <w:pPr>
        <w:jc w:val="center"/>
        <w:rPr>
          <w:rFonts w:asciiTheme="majorHAnsi" w:hAnsiTheme="majorHAnsi"/>
          <w:bCs/>
        </w:rPr>
      </w:pPr>
      <w:r>
        <w:rPr>
          <w:noProof/>
        </w:rPr>
        <w:drawing>
          <wp:inline distT="0" distB="0" distL="0" distR="0" wp14:anchorId="5C277CAF" wp14:editId="470FF55A">
            <wp:extent cx="4572000" cy="18478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FACD96" w14:textId="118AB7F1" w:rsidR="009C21EC" w:rsidRDefault="009C21EC" w:rsidP="004A5B15">
      <w:pPr>
        <w:pStyle w:val="Heading1"/>
      </w:pPr>
      <w:r>
        <w:t>Experience</w:t>
      </w:r>
    </w:p>
    <w:p w14:paraId="11BF430A" w14:textId="364EFBE7" w:rsidR="009C21EC" w:rsidRDefault="007706C9" w:rsidP="00650D9F">
      <w:pPr>
        <w:spacing w:after="0"/>
        <w:rPr>
          <w:rFonts w:asciiTheme="majorHAnsi" w:hAnsiTheme="majorHAnsi"/>
          <w:bCs/>
        </w:rPr>
      </w:pPr>
      <w:r>
        <w:rPr>
          <w:rFonts w:asciiTheme="majorHAnsi" w:hAnsiTheme="majorHAnsi"/>
          <w:bCs/>
        </w:rPr>
        <w:t xml:space="preserve">Employers prefer candidates with three to five years of experience for PHIT jobs (see Exhibit 7). Of the 100 job postings that listed experience requirements, 70% (70 postings) sought candidates with three to five years of related experience, followed by 20 postings that sought candidates with less than two years. Very few job postings required candidates with six to eight years of experience.  </w:t>
      </w:r>
    </w:p>
    <w:p w14:paraId="6E13322D" w14:textId="77777777" w:rsidR="007706C9" w:rsidRDefault="007706C9" w:rsidP="00650D9F">
      <w:pPr>
        <w:spacing w:after="0"/>
        <w:rPr>
          <w:rFonts w:asciiTheme="majorHAnsi" w:hAnsiTheme="majorHAnsi"/>
          <w:bCs/>
        </w:rPr>
      </w:pPr>
    </w:p>
    <w:p w14:paraId="70004D5E" w14:textId="29898915" w:rsidR="007706C9" w:rsidRPr="007706C9" w:rsidRDefault="007706C9" w:rsidP="007706C9">
      <w:pPr>
        <w:spacing w:after="0"/>
        <w:jc w:val="center"/>
        <w:rPr>
          <w:rFonts w:asciiTheme="majorHAnsi" w:hAnsiTheme="majorHAnsi"/>
          <w:b/>
          <w:bCs/>
        </w:rPr>
      </w:pPr>
      <w:r w:rsidRPr="004037FA">
        <w:rPr>
          <w:rFonts w:asciiTheme="majorHAnsi" w:hAnsiTheme="majorHAnsi"/>
          <w:b/>
          <w:bCs/>
        </w:rPr>
        <w:t xml:space="preserve">Exhibit </w:t>
      </w:r>
      <w:r w:rsidR="003617B0">
        <w:rPr>
          <w:rFonts w:asciiTheme="majorHAnsi" w:hAnsiTheme="majorHAnsi"/>
          <w:b/>
          <w:bCs/>
        </w:rPr>
        <w:t>7</w:t>
      </w:r>
      <w:r w:rsidRPr="004037FA">
        <w:rPr>
          <w:rFonts w:asciiTheme="majorHAnsi" w:hAnsiTheme="majorHAnsi"/>
          <w:b/>
          <w:bCs/>
        </w:rPr>
        <w:t xml:space="preserve">: </w:t>
      </w:r>
      <w:r>
        <w:rPr>
          <w:rFonts w:asciiTheme="majorHAnsi" w:hAnsiTheme="majorHAnsi"/>
          <w:b/>
          <w:bCs/>
        </w:rPr>
        <w:t>Experience requirements from PHIT job postings</w:t>
      </w:r>
    </w:p>
    <w:p w14:paraId="4C6ED4A5" w14:textId="00015C3C" w:rsidR="007706C9" w:rsidRPr="009C21EC" w:rsidRDefault="007706C9" w:rsidP="007706C9">
      <w:pPr>
        <w:spacing w:after="0"/>
        <w:jc w:val="center"/>
        <w:rPr>
          <w:rFonts w:asciiTheme="majorHAnsi" w:hAnsiTheme="majorHAnsi"/>
          <w:bCs/>
        </w:rPr>
      </w:pPr>
      <w:r>
        <w:rPr>
          <w:noProof/>
        </w:rPr>
        <w:drawing>
          <wp:inline distT="0" distB="0" distL="0" distR="0" wp14:anchorId="4F3C1661" wp14:editId="35AD585F">
            <wp:extent cx="4572000" cy="2247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B0B39E" w14:textId="77777777" w:rsidR="009C21EC" w:rsidRDefault="009C21EC" w:rsidP="00650D9F">
      <w:pPr>
        <w:spacing w:after="0"/>
        <w:rPr>
          <w:rFonts w:asciiTheme="majorHAnsi" w:hAnsiTheme="majorHAnsi"/>
          <w:b/>
          <w:bCs/>
        </w:rPr>
      </w:pPr>
    </w:p>
    <w:p w14:paraId="6ADD49EE" w14:textId="77498CEF" w:rsidR="00650D9F" w:rsidRDefault="00650D9F" w:rsidP="004A5B15">
      <w:pPr>
        <w:pStyle w:val="Heading1"/>
      </w:pPr>
      <w:r w:rsidRPr="00650D9F">
        <w:t>Salary</w:t>
      </w:r>
    </w:p>
    <w:p w14:paraId="19DEDEFC" w14:textId="5300C84E" w:rsidR="00E4082F" w:rsidRDefault="00650D9F" w:rsidP="0077489A">
      <w:pPr>
        <w:rPr>
          <w:rFonts w:asciiTheme="majorHAnsi" w:hAnsiTheme="majorHAnsi"/>
          <w:bCs/>
        </w:rPr>
      </w:pPr>
      <w:r w:rsidRPr="00650D9F">
        <w:rPr>
          <w:rFonts w:asciiTheme="majorHAnsi" w:hAnsiTheme="majorHAnsi"/>
          <w:bCs/>
        </w:rPr>
        <w:t xml:space="preserve">The mean advertised </w:t>
      </w:r>
      <w:r>
        <w:rPr>
          <w:rFonts w:asciiTheme="majorHAnsi" w:hAnsiTheme="majorHAnsi"/>
          <w:bCs/>
        </w:rPr>
        <w:t>salary from these PHIT job postings is $</w:t>
      </w:r>
      <w:r w:rsidR="00CC508C">
        <w:rPr>
          <w:rFonts w:asciiTheme="majorHAnsi" w:hAnsiTheme="majorHAnsi"/>
          <w:bCs/>
        </w:rPr>
        <w:t>1</w:t>
      </w:r>
      <w:r w:rsidR="00066341">
        <w:rPr>
          <w:rFonts w:asciiTheme="majorHAnsi" w:hAnsiTheme="majorHAnsi"/>
          <w:bCs/>
        </w:rPr>
        <w:t>02</w:t>
      </w:r>
      <w:r>
        <w:rPr>
          <w:rFonts w:asciiTheme="majorHAnsi" w:hAnsiTheme="majorHAnsi"/>
          <w:bCs/>
        </w:rPr>
        <w:t xml:space="preserve">k. However, this figure is based on </w:t>
      </w:r>
      <w:r w:rsidR="005571CC">
        <w:rPr>
          <w:rFonts w:asciiTheme="majorHAnsi" w:hAnsiTheme="majorHAnsi"/>
          <w:bCs/>
        </w:rPr>
        <w:t xml:space="preserve">just </w:t>
      </w:r>
      <w:r w:rsidR="00066341">
        <w:rPr>
          <w:rFonts w:asciiTheme="majorHAnsi" w:hAnsiTheme="majorHAnsi"/>
          <w:bCs/>
        </w:rPr>
        <w:t>52</w:t>
      </w:r>
      <w:r>
        <w:rPr>
          <w:rFonts w:asciiTheme="majorHAnsi" w:hAnsiTheme="majorHAnsi"/>
          <w:bCs/>
        </w:rPr>
        <w:t xml:space="preserve">% of </w:t>
      </w:r>
      <w:r w:rsidR="005571CC">
        <w:rPr>
          <w:rFonts w:asciiTheme="majorHAnsi" w:hAnsiTheme="majorHAnsi"/>
          <w:bCs/>
        </w:rPr>
        <w:t xml:space="preserve">the </w:t>
      </w:r>
      <w:r>
        <w:rPr>
          <w:rFonts w:asciiTheme="majorHAnsi" w:hAnsiTheme="majorHAnsi"/>
          <w:bCs/>
        </w:rPr>
        <w:t>PHIT job postings</w:t>
      </w:r>
      <w:r w:rsidR="005571CC">
        <w:rPr>
          <w:rFonts w:asciiTheme="majorHAnsi" w:hAnsiTheme="majorHAnsi"/>
          <w:bCs/>
        </w:rPr>
        <w:t xml:space="preserve"> examined; the remaining </w:t>
      </w:r>
      <w:r>
        <w:rPr>
          <w:rFonts w:asciiTheme="majorHAnsi" w:hAnsiTheme="majorHAnsi"/>
          <w:bCs/>
        </w:rPr>
        <w:t xml:space="preserve">job </w:t>
      </w:r>
      <w:r w:rsidR="005571CC">
        <w:rPr>
          <w:rFonts w:asciiTheme="majorHAnsi" w:hAnsiTheme="majorHAnsi"/>
          <w:bCs/>
        </w:rPr>
        <w:t>postings (</w:t>
      </w:r>
      <w:r w:rsidR="00066341">
        <w:rPr>
          <w:rFonts w:asciiTheme="majorHAnsi" w:hAnsiTheme="majorHAnsi"/>
          <w:bCs/>
        </w:rPr>
        <w:t>62</w:t>
      </w:r>
      <w:r w:rsidR="005571CC">
        <w:rPr>
          <w:rFonts w:asciiTheme="majorHAnsi" w:hAnsiTheme="majorHAnsi"/>
          <w:bCs/>
        </w:rPr>
        <w:t xml:space="preserve">) </w:t>
      </w:r>
      <w:r>
        <w:rPr>
          <w:rFonts w:asciiTheme="majorHAnsi" w:hAnsiTheme="majorHAnsi"/>
          <w:bCs/>
        </w:rPr>
        <w:t xml:space="preserve">did not include salary information. In cases such as this, </w:t>
      </w:r>
      <w:r w:rsidR="0065725A">
        <w:rPr>
          <w:rFonts w:asciiTheme="majorHAnsi" w:hAnsiTheme="majorHAnsi"/>
          <w:bCs/>
        </w:rPr>
        <w:t xml:space="preserve">the job posting aggregator, </w:t>
      </w:r>
      <w:r w:rsidR="005571CC">
        <w:rPr>
          <w:rFonts w:asciiTheme="majorHAnsi" w:hAnsiTheme="majorHAnsi"/>
          <w:bCs/>
        </w:rPr>
        <w:t>Labor Insight</w:t>
      </w:r>
      <w:r w:rsidR="0065725A">
        <w:rPr>
          <w:rFonts w:asciiTheme="majorHAnsi" w:hAnsiTheme="majorHAnsi"/>
          <w:bCs/>
        </w:rPr>
        <w:t>, calculates</w:t>
      </w:r>
      <w:r>
        <w:rPr>
          <w:rFonts w:asciiTheme="majorHAnsi" w:hAnsiTheme="majorHAnsi"/>
          <w:bCs/>
        </w:rPr>
        <w:t xml:space="preserve"> </w:t>
      </w:r>
      <w:r w:rsidR="0065725A">
        <w:rPr>
          <w:rFonts w:asciiTheme="majorHAnsi" w:hAnsiTheme="majorHAnsi"/>
          <w:bCs/>
        </w:rPr>
        <w:t xml:space="preserve">a </w:t>
      </w:r>
      <w:r>
        <w:rPr>
          <w:rFonts w:asciiTheme="majorHAnsi" w:hAnsiTheme="majorHAnsi"/>
          <w:bCs/>
        </w:rPr>
        <w:t xml:space="preserve">market salary, which is </w:t>
      </w:r>
      <w:r w:rsidR="0065725A">
        <w:rPr>
          <w:rFonts w:asciiTheme="majorHAnsi" w:hAnsiTheme="majorHAnsi"/>
          <w:bCs/>
        </w:rPr>
        <w:t xml:space="preserve">developed </w:t>
      </w:r>
      <w:r>
        <w:rPr>
          <w:rFonts w:asciiTheme="majorHAnsi" w:hAnsiTheme="majorHAnsi"/>
          <w:bCs/>
        </w:rPr>
        <w:t xml:space="preserve">based on millions of jobs postings </w:t>
      </w:r>
      <w:r w:rsidR="00E4082F">
        <w:rPr>
          <w:rFonts w:asciiTheme="majorHAnsi" w:hAnsiTheme="majorHAnsi"/>
          <w:bCs/>
        </w:rPr>
        <w:t>that account for location, skills, experience, education requirements and other</w:t>
      </w:r>
      <w:r w:rsidR="00543948">
        <w:rPr>
          <w:rFonts w:asciiTheme="majorHAnsi" w:hAnsiTheme="majorHAnsi"/>
          <w:bCs/>
        </w:rPr>
        <w:t xml:space="preserve"> factors</w:t>
      </w:r>
      <w:r w:rsidR="00E4082F">
        <w:rPr>
          <w:rFonts w:asciiTheme="majorHAnsi" w:hAnsiTheme="majorHAnsi"/>
          <w:bCs/>
        </w:rPr>
        <w:t>. The median market salary for these P</w:t>
      </w:r>
      <w:r w:rsidR="00066341">
        <w:rPr>
          <w:rFonts w:asciiTheme="majorHAnsi" w:hAnsiTheme="majorHAnsi"/>
          <w:bCs/>
        </w:rPr>
        <w:t>HIT job postings is $77.7</w:t>
      </w:r>
      <w:r w:rsidR="00D20747">
        <w:rPr>
          <w:rFonts w:asciiTheme="majorHAnsi" w:hAnsiTheme="majorHAnsi"/>
          <w:bCs/>
        </w:rPr>
        <w:t xml:space="preserve">k. </w:t>
      </w:r>
      <w:r w:rsidR="0065725A">
        <w:rPr>
          <w:rFonts w:asciiTheme="majorHAnsi" w:hAnsiTheme="majorHAnsi"/>
          <w:bCs/>
        </w:rPr>
        <w:t>The market salary range is shown</w:t>
      </w:r>
      <w:r w:rsidR="00DB384C">
        <w:rPr>
          <w:rFonts w:asciiTheme="majorHAnsi" w:hAnsiTheme="majorHAnsi"/>
          <w:bCs/>
        </w:rPr>
        <w:t xml:space="preserve"> in E</w:t>
      </w:r>
      <w:r w:rsidR="003617B0">
        <w:rPr>
          <w:rFonts w:asciiTheme="majorHAnsi" w:hAnsiTheme="majorHAnsi"/>
          <w:bCs/>
        </w:rPr>
        <w:t>xhibit 8</w:t>
      </w:r>
      <w:r w:rsidR="00D20747">
        <w:rPr>
          <w:rFonts w:asciiTheme="majorHAnsi" w:hAnsiTheme="majorHAnsi"/>
          <w:bCs/>
        </w:rPr>
        <w:t>.</w:t>
      </w:r>
    </w:p>
    <w:p w14:paraId="053E5C51" w14:textId="77777777" w:rsidR="00066341" w:rsidRDefault="00066341" w:rsidP="0077489A">
      <w:pPr>
        <w:rPr>
          <w:rFonts w:asciiTheme="majorHAnsi" w:hAnsiTheme="majorHAnsi"/>
          <w:bCs/>
        </w:rPr>
      </w:pPr>
    </w:p>
    <w:p w14:paraId="59D800E4" w14:textId="55660659" w:rsidR="00E4082F" w:rsidRDefault="00E4082F" w:rsidP="00E4082F">
      <w:pPr>
        <w:spacing w:after="0"/>
        <w:jc w:val="center"/>
        <w:rPr>
          <w:rFonts w:asciiTheme="majorHAnsi" w:hAnsiTheme="majorHAnsi"/>
          <w:b/>
          <w:bCs/>
        </w:rPr>
      </w:pPr>
      <w:r w:rsidRPr="00E4082F">
        <w:rPr>
          <w:rFonts w:asciiTheme="majorHAnsi" w:hAnsiTheme="majorHAnsi"/>
          <w:b/>
          <w:bCs/>
        </w:rPr>
        <w:t xml:space="preserve">Exhibit </w:t>
      </w:r>
      <w:r w:rsidR="003617B0">
        <w:rPr>
          <w:rFonts w:asciiTheme="majorHAnsi" w:hAnsiTheme="majorHAnsi"/>
          <w:b/>
          <w:bCs/>
        </w:rPr>
        <w:t>8</w:t>
      </w:r>
      <w:r w:rsidRPr="00E4082F">
        <w:rPr>
          <w:rFonts w:asciiTheme="majorHAnsi" w:hAnsiTheme="majorHAnsi"/>
          <w:b/>
          <w:bCs/>
        </w:rPr>
        <w:t>: Market salary by percentile for PHIT job postings</w:t>
      </w:r>
    </w:p>
    <w:p w14:paraId="7FAD71F2" w14:textId="17C9AF9A" w:rsidR="00066341" w:rsidRPr="00E4082F" w:rsidRDefault="00066341" w:rsidP="00E4082F">
      <w:pPr>
        <w:spacing w:after="0"/>
        <w:jc w:val="center"/>
        <w:rPr>
          <w:rFonts w:asciiTheme="majorHAnsi" w:hAnsiTheme="majorHAnsi"/>
          <w:b/>
          <w:bCs/>
        </w:rPr>
      </w:pPr>
      <w:r>
        <w:rPr>
          <w:noProof/>
        </w:rPr>
        <w:drawing>
          <wp:inline distT="0" distB="0" distL="0" distR="0" wp14:anchorId="2F6254A7" wp14:editId="67094D40">
            <wp:extent cx="5467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B8F6ED" w14:textId="0D05E8F6" w:rsidR="00A8114B" w:rsidRPr="008378D3" w:rsidRDefault="00A8114B" w:rsidP="008378D3">
      <w:pPr>
        <w:jc w:val="center"/>
        <w:rPr>
          <w:rFonts w:asciiTheme="majorHAnsi" w:hAnsiTheme="majorHAnsi"/>
          <w:bCs/>
        </w:rPr>
      </w:pPr>
    </w:p>
    <w:p w14:paraId="7E6EC78D" w14:textId="1F60C243" w:rsidR="00704FA8" w:rsidRDefault="00704FA8" w:rsidP="004A5B15">
      <w:pPr>
        <w:pStyle w:val="Heading1"/>
      </w:pPr>
      <w:r>
        <w:t>Identifying the Potential PHIT Workforce</w:t>
      </w:r>
    </w:p>
    <w:p w14:paraId="14D3668E" w14:textId="75737BFE" w:rsidR="00704FA8" w:rsidRDefault="00704FA8" w:rsidP="00704FA8">
      <w:pPr>
        <w:rPr>
          <w:rFonts w:asciiTheme="majorHAnsi" w:hAnsiTheme="majorHAnsi"/>
          <w:bCs/>
        </w:rPr>
      </w:pPr>
      <w:r>
        <w:rPr>
          <w:rFonts w:asciiTheme="majorHAnsi" w:hAnsiTheme="majorHAnsi"/>
          <w:bCs/>
        </w:rPr>
        <w:t xml:space="preserve">As these job postings indicate, preferred applicants for these positions have a bachelor’s degree as well as knowledge of health informatics and data software. </w:t>
      </w:r>
      <w:r w:rsidR="006507A1">
        <w:rPr>
          <w:rFonts w:asciiTheme="majorHAnsi" w:hAnsiTheme="majorHAnsi"/>
          <w:bCs/>
        </w:rPr>
        <w:t xml:space="preserve">The labor pool for these positions may derive from a number of educational and training pathways. </w:t>
      </w:r>
      <w:r w:rsidR="00890028">
        <w:rPr>
          <w:rFonts w:asciiTheme="majorHAnsi" w:hAnsiTheme="majorHAnsi"/>
          <w:bCs/>
        </w:rPr>
        <w:t>These include, but are not limited to:</w:t>
      </w:r>
    </w:p>
    <w:p w14:paraId="6C6499AB" w14:textId="3B225290" w:rsidR="006507A1" w:rsidRPr="00DB384C" w:rsidRDefault="006507A1" w:rsidP="00DB384C">
      <w:pPr>
        <w:pStyle w:val="ListParagraph"/>
        <w:numPr>
          <w:ilvl w:val="0"/>
          <w:numId w:val="29"/>
        </w:numPr>
        <w:rPr>
          <w:rFonts w:asciiTheme="majorHAnsi" w:hAnsiTheme="majorHAnsi"/>
          <w:bCs/>
        </w:rPr>
      </w:pPr>
      <w:r w:rsidRPr="00DB384C">
        <w:rPr>
          <w:rFonts w:asciiTheme="majorHAnsi" w:hAnsiTheme="majorHAnsi"/>
          <w:bCs/>
        </w:rPr>
        <w:t xml:space="preserve">Incumbent – workers who have already gained direct experience working in a PHIT role. </w:t>
      </w:r>
    </w:p>
    <w:p w14:paraId="630BB498" w14:textId="4177C4DE" w:rsidR="00890028" w:rsidRPr="00DB384C" w:rsidRDefault="006507A1" w:rsidP="00DB384C">
      <w:pPr>
        <w:pStyle w:val="ListParagraph"/>
        <w:numPr>
          <w:ilvl w:val="0"/>
          <w:numId w:val="29"/>
        </w:numPr>
        <w:rPr>
          <w:rFonts w:asciiTheme="majorHAnsi" w:hAnsiTheme="majorHAnsi"/>
          <w:bCs/>
        </w:rPr>
      </w:pPr>
      <w:r w:rsidRPr="00DB384C">
        <w:rPr>
          <w:rFonts w:asciiTheme="majorHAnsi" w:hAnsiTheme="majorHAnsi"/>
          <w:bCs/>
        </w:rPr>
        <w:t>Lateral – workers who have</w:t>
      </w:r>
      <w:r w:rsidR="00890028" w:rsidRPr="00DB384C">
        <w:rPr>
          <w:rFonts w:asciiTheme="majorHAnsi" w:hAnsiTheme="majorHAnsi"/>
          <w:bCs/>
        </w:rPr>
        <w:t xml:space="preserve"> attained a bachelor’s degree in a major identified as preferred by the employer.</w:t>
      </w:r>
    </w:p>
    <w:p w14:paraId="2AC860F3" w14:textId="40DF62C9" w:rsidR="00890028" w:rsidRDefault="00890028" w:rsidP="00890028">
      <w:pPr>
        <w:pStyle w:val="ListParagraph"/>
        <w:numPr>
          <w:ilvl w:val="0"/>
          <w:numId w:val="29"/>
        </w:numPr>
        <w:rPr>
          <w:rFonts w:asciiTheme="majorHAnsi" w:hAnsiTheme="majorHAnsi"/>
          <w:bCs/>
        </w:rPr>
      </w:pPr>
      <w:r w:rsidRPr="00DB384C">
        <w:rPr>
          <w:rFonts w:asciiTheme="majorHAnsi" w:hAnsiTheme="majorHAnsi"/>
          <w:bCs/>
        </w:rPr>
        <w:t>Skills builder – workers who have attained a bachelor’s degree in a non-related major but have either direct experience working in a PHIT field or have completed PHIT coursework.</w:t>
      </w:r>
    </w:p>
    <w:p w14:paraId="6CD34638" w14:textId="345E8841" w:rsidR="00192616" w:rsidRDefault="00890028" w:rsidP="00192616">
      <w:pPr>
        <w:rPr>
          <w:rFonts w:asciiTheme="majorHAnsi" w:hAnsiTheme="majorHAnsi"/>
          <w:bCs/>
        </w:rPr>
      </w:pPr>
      <w:r>
        <w:rPr>
          <w:rFonts w:asciiTheme="majorHAnsi" w:hAnsiTheme="majorHAnsi"/>
          <w:bCs/>
        </w:rPr>
        <w:t xml:space="preserve">To assess the pipeline of potential new entrants to the PHIT field, the COE </w:t>
      </w:r>
      <w:r w:rsidR="00B45B86">
        <w:rPr>
          <w:rFonts w:asciiTheme="majorHAnsi" w:hAnsiTheme="majorHAnsi"/>
          <w:bCs/>
        </w:rPr>
        <w:t xml:space="preserve">identified baccalaureate programs offered by community colleges and four-year institutions with the highest relevance to the topics included in the PHIT coursework. </w:t>
      </w:r>
      <w:r w:rsidR="00C31559">
        <w:rPr>
          <w:rFonts w:asciiTheme="majorHAnsi" w:hAnsiTheme="majorHAnsi"/>
          <w:bCs/>
        </w:rPr>
        <w:t>These programs and their average annual awards (bachelor’s degrees only) are detailed below.</w:t>
      </w:r>
    </w:p>
    <w:p w14:paraId="299DFF74" w14:textId="77777777" w:rsidR="00192616" w:rsidRPr="00192616" w:rsidRDefault="00192616" w:rsidP="00192616">
      <w:pPr>
        <w:rPr>
          <w:rFonts w:asciiTheme="majorHAnsi" w:hAnsiTheme="majorHAnsi"/>
          <w:bCs/>
        </w:rPr>
      </w:pPr>
    </w:p>
    <w:p w14:paraId="0699590B" w14:textId="74C96276" w:rsidR="008378D3" w:rsidRDefault="008378D3" w:rsidP="004A5B15">
      <w:pPr>
        <w:pStyle w:val="Heading1"/>
      </w:pPr>
      <w:r>
        <w:t xml:space="preserve">Community College </w:t>
      </w:r>
      <w:r w:rsidR="00CF684E">
        <w:t xml:space="preserve">Baccalaureate </w:t>
      </w:r>
      <w:r>
        <w:t>Supply</w:t>
      </w:r>
    </w:p>
    <w:p w14:paraId="20628A2B" w14:textId="09442725" w:rsidR="00543948" w:rsidRDefault="003617B0" w:rsidP="00CF684E">
      <w:pPr>
        <w:rPr>
          <w:rFonts w:asciiTheme="majorHAnsi" w:hAnsiTheme="majorHAnsi"/>
          <w:b/>
        </w:rPr>
      </w:pPr>
      <w:r>
        <w:rPr>
          <w:rFonts w:asciiTheme="majorHAnsi" w:hAnsiTheme="majorHAnsi"/>
        </w:rPr>
        <w:t>Exhibit 9</w:t>
      </w:r>
      <w:r w:rsidR="0077489A" w:rsidRPr="00263C73">
        <w:rPr>
          <w:rFonts w:asciiTheme="majorHAnsi" w:hAnsiTheme="majorHAnsi"/>
        </w:rPr>
        <w:t xml:space="preserve"> shows the three-year average number of </w:t>
      </w:r>
      <w:r w:rsidR="00CF684E">
        <w:rPr>
          <w:rFonts w:asciiTheme="majorHAnsi" w:hAnsiTheme="majorHAnsi"/>
        </w:rPr>
        <w:t xml:space="preserve">bachelor’s degrees </w:t>
      </w:r>
      <w:r w:rsidR="0077489A" w:rsidRPr="00263C73">
        <w:rPr>
          <w:rFonts w:asciiTheme="majorHAnsi" w:hAnsiTheme="majorHAnsi"/>
        </w:rPr>
        <w:t xml:space="preserve">conferred by community colleges in programs that provide training for </w:t>
      </w:r>
      <w:r w:rsidR="00A8114B">
        <w:rPr>
          <w:rFonts w:asciiTheme="majorHAnsi" w:hAnsiTheme="majorHAnsi"/>
        </w:rPr>
        <w:t>work roles related to public health informatics and technology</w:t>
      </w:r>
      <w:r w:rsidR="0077489A" w:rsidRPr="00263C73">
        <w:rPr>
          <w:rFonts w:asciiTheme="majorHAnsi" w:hAnsiTheme="majorHAnsi"/>
        </w:rPr>
        <w:t xml:space="preserve">. </w:t>
      </w:r>
      <w:r w:rsidR="00BD789A">
        <w:rPr>
          <w:rFonts w:asciiTheme="majorHAnsi" w:hAnsiTheme="majorHAnsi"/>
        </w:rPr>
        <w:t>This three-year average is derived from the 2018-19, 2019-20, and 2020-21 academic years. The two community colleges that offer bachelor’s degrees in</w:t>
      </w:r>
      <w:r w:rsidR="002278B3">
        <w:rPr>
          <w:rFonts w:asciiTheme="majorHAnsi" w:hAnsiTheme="majorHAnsi"/>
        </w:rPr>
        <w:t xml:space="preserve"> Health Information Technology (TOP 1223.00) programs</w:t>
      </w:r>
      <w:r w:rsidR="00BD789A">
        <w:rPr>
          <w:rFonts w:asciiTheme="majorHAnsi" w:hAnsiTheme="majorHAnsi"/>
        </w:rPr>
        <w:t xml:space="preserve"> are San Diego Mesa and Shasta, issuing a three-year average of 31 bachelor’s degrees. </w:t>
      </w:r>
    </w:p>
    <w:p w14:paraId="06298C85" w14:textId="04A7389F" w:rsidR="0077489A" w:rsidRPr="00263C73" w:rsidRDefault="00D20747" w:rsidP="008378D3">
      <w:pPr>
        <w:pStyle w:val="TableHeading"/>
        <w:rPr>
          <w:szCs w:val="24"/>
        </w:rPr>
      </w:pPr>
      <w:r>
        <w:rPr>
          <w:szCs w:val="24"/>
        </w:rPr>
        <w:t xml:space="preserve">Exhibit </w:t>
      </w:r>
      <w:r w:rsidR="003617B0">
        <w:rPr>
          <w:szCs w:val="24"/>
        </w:rPr>
        <w:t>9</w:t>
      </w:r>
      <w:r w:rsidR="0077489A" w:rsidRPr="00263C73">
        <w:rPr>
          <w:szCs w:val="24"/>
        </w:rPr>
        <w:t xml:space="preserve">: </w:t>
      </w:r>
      <w:r w:rsidR="00A8114B">
        <w:rPr>
          <w:szCs w:val="24"/>
        </w:rPr>
        <w:t>Statewide</w:t>
      </w:r>
      <w:r w:rsidR="0077489A" w:rsidRPr="00263C73">
        <w:rPr>
          <w:szCs w:val="24"/>
        </w:rPr>
        <w:t xml:space="preserve"> </w:t>
      </w:r>
      <w:r w:rsidR="00E75DD7">
        <w:rPr>
          <w:szCs w:val="24"/>
        </w:rPr>
        <w:t xml:space="preserve">community college </w:t>
      </w:r>
      <w:r w:rsidR="00CF684E">
        <w:rPr>
          <w:szCs w:val="24"/>
        </w:rPr>
        <w:t>bachelor’s degrees issued,</w:t>
      </w:r>
      <w:r w:rsidR="00A8114B">
        <w:rPr>
          <w:szCs w:val="24"/>
        </w:rPr>
        <w:t xml:space="preserve"> 2018-2021</w:t>
      </w:r>
      <w:r w:rsidR="00CF684E">
        <w:rPr>
          <w:szCs w:val="24"/>
        </w:rPr>
        <w:t xml:space="preserve"> average</w:t>
      </w:r>
    </w:p>
    <w:tbl>
      <w:tblPr>
        <w:tblpPr w:leftFromText="180" w:rightFromText="180" w:vertAnchor="text" w:tblpY="1"/>
        <w:tblOverlap w:val="never"/>
        <w:tblW w:w="0" w:type="auto"/>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80"/>
        <w:gridCol w:w="2700"/>
        <w:gridCol w:w="3600"/>
        <w:gridCol w:w="1980"/>
      </w:tblGrid>
      <w:tr w:rsidR="00CF684E" w:rsidRPr="00263C73" w14:paraId="1FFF17E0" w14:textId="77777777" w:rsidTr="00E93E47">
        <w:trPr>
          <w:trHeight w:val="288"/>
          <w:tblHeader/>
        </w:trPr>
        <w:tc>
          <w:tcPr>
            <w:tcW w:w="1080" w:type="dxa"/>
            <w:shd w:val="clear" w:color="auto" w:fill="E0EE7C" w:themeFill="accent3" w:themeFillTint="66"/>
            <w:noWrap/>
            <w:vAlign w:val="center"/>
            <w:hideMark/>
          </w:tcPr>
          <w:p w14:paraId="0300728F" w14:textId="1679A794" w:rsidR="00CF684E" w:rsidRPr="00263C73" w:rsidRDefault="00CF684E" w:rsidP="002278B3">
            <w:pPr>
              <w:pStyle w:val="TableColumnTitles"/>
              <w:rPr>
                <w:szCs w:val="24"/>
              </w:rPr>
            </w:pPr>
            <w:r w:rsidRPr="00263C73">
              <w:rPr>
                <w:szCs w:val="24"/>
              </w:rPr>
              <w:t>TOP Code</w:t>
            </w:r>
          </w:p>
        </w:tc>
        <w:tc>
          <w:tcPr>
            <w:tcW w:w="2700" w:type="dxa"/>
            <w:shd w:val="clear" w:color="auto" w:fill="E0EE7C" w:themeFill="accent3" w:themeFillTint="66"/>
            <w:noWrap/>
            <w:vAlign w:val="center"/>
            <w:hideMark/>
          </w:tcPr>
          <w:p w14:paraId="433779D1" w14:textId="77777777" w:rsidR="00CF684E" w:rsidRPr="00263C73" w:rsidRDefault="00CF684E" w:rsidP="002278B3">
            <w:pPr>
              <w:pStyle w:val="TableColumnTitles"/>
              <w:rPr>
                <w:szCs w:val="24"/>
              </w:rPr>
            </w:pPr>
            <w:r w:rsidRPr="00263C73">
              <w:rPr>
                <w:szCs w:val="24"/>
              </w:rPr>
              <w:t>Program</w:t>
            </w:r>
          </w:p>
        </w:tc>
        <w:tc>
          <w:tcPr>
            <w:tcW w:w="3600" w:type="dxa"/>
            <w:shd w:val="clear" w:color="auto" w:fill="E0EE7C" w:themeFill="accent3" w:themeFillTint="66"/>
            <w:noWrap/>
            <w:vAlign w:val="center"/>
            <w:hideMark/>
          </w:tcPr>
          <w:p w14:paraId="424924AA" w14:textId="77777777" w:rsidR="00CF684E" w:rsidRPr="00263C73" w:rsidRDefault="00CF684E" w:rsidP="002278B3">
            <w:pPr>
              <w:pStyle w:val="TableColumnTitles"/>
              <w:jc w:val="left"/>
              <w:rPr>
                <w:szCs w:val="24"/>
              </w:rPr>
            </w:pPr>
            <w:r w:rsidRPr="00263C73">
              <w:rPr>
                <w:szCs w:val="24"/>
              </w:rPr>
              <w:t>College</w:t>
            </w:r>
          </w:p>
        </w:tc>
        <w:tc>
          <w:tcPr>
            <w:tcW w:w="1980" w:type="dxa"/>
            <w:shd w:val="clear" w:color="auto" w:fill="E0EE7C" w:themeFill="accent3" w:themeFillTint="66"/>
            <w:vAlign w:val="center"/>
            <w:hideMark/>
          </w:tcPr>
          <w:p w14:paraId="51E6D826" w14:textId="5AF66B42" w:rsidR="00CF684E" w:rsidRPr="00263C73" w:rsidRDefault="00CF684E" w:rsidP="00CF684E">
            <w:pPr>
              <w:pStyle w:val="TableColumnTitles"/>
              <w:spacing w:before="60" w:after="60"/>
              <w:rPr>
                <w:szCs w:val="24"/>
              </w:rPr>
            </w:pPr>
            <w:r w:rsidRPr="00263C73">
              <w:rPr>
                <w:szCs w:val="24"/>
              </w:rPr>
              <w:t>3-Year</w:t>
            </w:r>
            <w:r>
              <w:rPr>
                <w:szCs w:val="24"/>
              </w:rPr>
              <w:t xml:space="preserve"> </w:t>
            </w:r>
            <w:r w:rsidRPr="00263C73">
              <w:rPr>
                <w:szCs w:val="24"/>
              </w:rPr>
              <w:t>Average</w:t>
            </w:r>
            <w:r>
              <w:rPr>
                <w:szCs w:val="24"/>
              </w:rPr>
              <w:t xml:space="preserve"> Bachelor’s Degrees Issued </w:t>
            </w:r>
            <w:r w:rsidRPr="00263C73">
              <w:rPr>
                <w:szCs w:val="24"/>
              </w:rPr>
              <w:t xml:space="preserve"> </w:t>
            </w:r>
          </w:p>
        </w:tc>
      </w:tr>
      <w:tr w:rsidR="00CF684E" w:rsidRPr="00263C73" w14:paraId="371B3338" w14:textId="77777777" w:rsidTr="00E93E47">
        <w:trPr>
          <w:trHeight w:val="360"/>
        </w:trPr>
        <w:tc>
          <w:tcPr>
            <w:tcW w:w="1080" w:type="dxa"/>
            <w:vMerge w:val="restart"/>
            <w:shd w:val="clear" w:color="auto" w:fill="auto"/>
            <w:noWrap/>
            <w:vAlign w:val="center"/>
          </w:tcPr>
          <w:p w14:paraId="1843BFB3" w14:textId="73AD0340" w:rsidR="00CF684E" w:rsidRPr="00263C73" w:rsidRDefault="00CF684E" w:rsidP="002278B3">
            <w:pPr>
              <w:keepNext/>
              <w:spacing w:after="0" w:line="240" w:lineRule="auto"/>
              <w:jc w:val="center"/>
              <w:rPr>
                <w:rFonts w:asciiTheme="majorHAnsi" w:hAnsiTheme="majorHAnsi"/>
              </w:rPr>
            </w:pPr>
            <w:r>
              <w:rPr>
                <w:rFonts w:asciiTheme="majorHAnsi" w:hAnsiTheme="majorHAnsi"/>
              </w:rPr>
              <w:t>1223.00</w:t>
            </w:r>
          </w:p>
        </w:tc>
        <w:tc>
          <w:tcPr>
            <w:tcW w:w="2700" w:type="dxa"/>
            <w:vMerge w:val="restart"/>
            <w:shd w:val="clear" w:color="auto" w:fill="FFFFFF" w:themeFill="background1"/>
            <w:noWrap/>
            <w:vAlign w:val="center"/>
          </w:tcPr>
          <w:p w14:paraId="7A1DE8E7" w14:textId="75951755" w:rsidR="00CF684E" w:rsidRPr="00263C73" w:rsidRDefault="00CF684E" w:rsidP="002278B3">
            <w:pPr>
              <w:keepNext/>
              <w:spacing w:after="0" w:line="240" w:lineRule="auto"/>
              <w:jc w:val="center"/>
              <w:rPr>
                <w:rFonts w:asciiTheme="majorHAnsi" w:hAnsiTheme="majorHAnsi"/>
              </w:rPr>
            </w:pPr>
            <w:r>
              <w:rPr>
                <w:rFonts w:asciiTheme="majorHAnsi" w:hAnsiTheme="majorHAnsi"/>
              </w:rPr>
              <w:t>Health Information Technology</w:t>
            </w:r>
          </w:p>
        </w:tc>
        <w:tc>
          <w:tcPr>
            <w:tcW w:w="3600" w:type="dxa"/>
            <w:shd w:val="clear" w:color="auto" w:fill="FFFFFF" w:themeFill="background1"/>
            <w:noWrap/>
            <w:vAlign w:val="center"/>
          </w:tcPr>
          <w:p w14:paraId="687CCC91" w14:textId="5AA61E23" w:rsidR="00CF684E" w:rsidRPr="00B611F2" w:rsidRDefault="00CF684E" w:rsidP="002278B3">
            <w:pPr>
              <w:spacing w:after="0" w:line="240" w:lineRule="auto"/>
              <w:rPr>
                <w:rFonts w:cs="Calibri"/>
              </w:rPr>
            </w:pPr>
            <w:r>
              <w:rPr>
                <w:rFonts w:cs="Calibri"/>
                <w:bCs/>
                <w:color w:val="000000"/>
              </w:rPr>
              <w:t>San Diego Mesa</w:t>
            </w:r>
          </w:p>
        </w:tc>
        <w:tc>
          <w:tcPr>
            <w:tcW w:w="1980" w:type="dxa"/>
            <w:shd w:val="clear" w:color="auto" w:fill="FFFFFF" w:themeFill="background1"/>
            <w:vAlign w:val="center"/>
          </w:tcPr>
          <w:p w14:paraId="1C9C66A9" w14:textId="55789F8F" w:rsidR="00CF684E" w:rsidRPr="00B611F2" w:rsidRDefault="00CF684E" w:rsidP="002278B3">
            <w:pPr>
              <w:spacing w:after="0" w:line="240" w:lineRule="auto"/>
              <w:jc w:val="center"/>
              <w:rPr>
                <w:rFonts w:cs="Calibri"/>
              </w:rPr>
            </w:pPr>
            <w:r>
              <w:rPr>
                <w:rFonts w:cs="Calibri"/>
                <w:bCs/>
                <w:color w:val="000000"/>
              </w:rPr>
              <w:t>24</w:t>
            </w:r>
          </w:p>
        </w:tc>
      </w:tr>
      <w:tr w:rsidR="00CF684E" w:rsidRPr="00263C73" w14:paraId="35612A41" w14:textId="77777777" w:rsidTr="00E93E47">
        <w:trPr>
          <w:trHeight w:val="360"/>
        </w:trPr>
        <w:tc>
          <w:tcPr>
            <w:tcW w:w="1080" w:type="dxa"/>
            <w:vMerge/>
            <w:shd w:val="clear" w:color="auto" w:fill="auto"/>
            <w:noWrap/>
            <w:vAlign w:val="center"/>
          </w:tcPr>
          <w:p w14:paraId="2988AC4F" w14:textId="77777777" w:rsidR="00CF684E" w:rsidRPr="00263C73" w:rsidRDefault="00CF684E" w:rsidP="002278B3">
            <w:pPr>
              <w:keepNext/>
              <w:spacing w:after="0" w:line="240" w:lineRule="auto"/>
              <w:jc w:val="center"/>
              <w:rPr>
                <w:rFonts w:asciiTheme="majorHAnsi" w:hAnsiTheme="majorHAnsi"/>
              </w:rPr>
            </w:pPr>
          </w:p>
        </w:tc>
        <w:tc>
          <w:tcPr>
            <w:tcW w:w="2700" w:type="dxa"/>
            <w:vMerge/>
            <w:shd w:val="clear" w:color="auto" w:fill="FFFFFF" w:themeFill="background1"/>
            <w:noWrap/>
            <w:vAlign w:val="center"/>
          </w:tcPr>
          <w:p w14:paraId="7B4718AE" w14:textId="77777777" w:rsidR="00CF684E" w:rsidRPr="00263C73" w:rsidRDefault="00CF684E" w:rsidP="002278B3">
            <w:pPr>
              <w:keepNext/>
              <w:spacing w:after="0" w:line="240" w:lineRule="auto"/>
              <w:jc w:val="center"/>
              <w:rPr>
                <w:rFonts w:asciiTheme="majorHAnsi" w:hAnsiTheme="majorHAnsi"/>
              </w:rPr>
            </w:pPr>
          </w:p>
        </w:tc>
        <w:tc>
          <w:tcPr>
            <w:tcW w:w="3600" w:type="dxa"/>
            <w:shd w:val="clear" w:color="auto" w:fill="FFFFFF" w:themeFill="background1"/>
            <w:noWrap/>
            <w:vAlign w:val="center"/>
          </w:tcPr>
          <w:p w14:paraId="718ABE13" w14:textId="055F380C" w:rsidR="00CF684E" w:rsidRPr="00B611F2" w:rsidRDefault="00CF684E" w:rsidP="002278B3">
            <w:pPr>
              <w:spacing w:after="0" w:line="240" w:lineRule="auto"/>
              <w:rPr>
                <w:rFonts w:cs="Calibri"/>
              </w:rPr>
            </w:pPr>
            <w:r>
              <w:rPr>
                <w:rFonts w:cs="Calibri"/>
                <w:bCs/>
                <w:color w:val="000000"/>
              </w:rPr>
              <w:t>Shasta</w:t>
            </w:r>
          </w:p>
        </w:tc>
        <w:tc>
          <w:tcPr>
            <w:tcW w:w="1980" w:type="dxa"/>
            <w:shd w:val="clear" w:color="auto" w:fill="FFFFFF" w:themeFill="background1"/>
            <w:vAlign w:val="center"/>
          </w:tcPr>
          <w:p w14:paraId="127BE086" w14:textId="1C8EF36E" w:rsidR="00CF684E" w:rsidRPr="00B611F2" w:rsidRDefault="00CF684E" w:rsidP="002278B3">
            <w:pPr>
              <w:spacing w:after="0" w:line="240" w:lineRule="auto"/>
              <w:jc w:val="center"/>
              <w:rPr>
                <w:rFonts w:cs="Calibri"/>
              </w:rPr>
            </w:pPr>
            <w:r>
              <w:rPr>
                <w:rFonts w:cs="Calibri"/>
                <w:bCs/>
                <w:color w:val="000000"/>
              </w:rPr>
              <w:t>7</w:t>
            </w:r>
          </w:p>
        </w:tc>
      </w:tr>
      <w:tr w:rsidR="00CF684E" w:rsidRPr="00263C73" w14:paraId="5128A952" w14:textId="77777777" w:rsidTr="00E93E47">
        <w:trPr>
          <w:trHeight w:val="360"/>
        </w:trPr>
        <w:tc>
          <w:tcPr>
            <w:tcW w:w="7380" w:type="dxa"/>
            <w:gridSpan w:val="3"/>
            <w:shd w:val="clear" w:color="auto" w:fill="CBCBCB" w:themeFill="accent5" w:themeFillTint="99"/>
            <w:noWrap/>
            <w:vAlign w:val="center"/>
          </w:tcPr>
          <w:p w14:paraId="5FBED2D7" w14:textId="77777777" w:rsidR="00CF684E" w:rsidRPr="00263C73" w:rsidRDefault="00CF684E" w:rsidP="002278B3">
            <w:pPr>
              <w:keepNext/>
              <w:spacing w:after="0" w:line="240" w:lineRule="auto"/>
              <w:jc w:val="right"/>
              <w:rPr>
                <w:rFonts w:asciiTheme="majorHAnsi" w:hAnsiTheme="majorHAnsi"/>
                <w:b/>
              </w:rPr>
            </w:pPr>
            <w:r w:rsidRPr="00263C73">
              <w:rPr>
                <w:rFonts w:asciiTheme="majorHAnsi" w:hAnsiTheme="majorHAnsi"/>
                <w:b/>
              </w:rPr>
              <w:t>Total/Average</w:t>
            </w:r>
          </w:p>
        </w:tc>
        <w:tc>
          <w:tcPr>
            <w:tcW w:w="1980" w:type="dxa"/>
            <w:shd w:val="clear" w:color="auto" w:fill="CBCBCB" w:themeFill="accent5" w:themeFillTint="99"/>
            <w:vAlign w:val="center"/>
          </w:tcPr>
          <w:p w14:paraId="2122DA97" w14:textId="109FB64E" w:rsidR="00CF684E" w:rsidRPr="00263C73" w:rsidRDefault="00CF684E" w:rsidP="002278B3">
            <w:pPr>
              <w:spacing w:after="0" w:line="240" w:lineRule="auto"/>
              <w:jc w:val="center"/>
              <w:rPr>
                <w:rFonts w:asciiTheme="majorHAnsi" w:hAnsiTheme="majorHAnsi" w:cs="Calibri"/>
                <w:b/>
                <w:bCs/>
              </w:rPr>
            </w:pPr>
            <w:r>
              <w:rPr>
                <w:rFonts w:asciiTheme="majorHAnsi" w:hAnsiTheme="majorHAnsi" w:cs="Calibri"/>
                <w:b/>
                <w:bCs/>
              </w:rPr>
              <w:t>31</w:t>
            </w:r>
          </w:p>
        </w:tc>
      </w:tr>
    </w:tbl>
    <w:p w14:paraId="1FF4A028" w14:textId="77777777" w:rsidR="0077489A" w:rsidRPr="00263C73" w:rsidRDefault="0077489A" w:rsidP="0077489A">
      <w:pPr>
        <w:spacing w:after="0" w:line="240" w:lineRule="auto"/>
        <w:rPr>
          <w:rFonts w:asciiTheme="majorHAnsi" w:hAnsiTheme="majorHAnsi"/>
          <w:b/>
        </w:rPr>
      </w:pPr>
    </w:p>
    <w:p w14:paraId="1AECEA5B" w14:textId="11B0A294" w:rsidR="002278B3" w:rsidRDefault="002278B3">
      <w:pPr>
        <w:tabs>
          <w:tab w:val="clear" w:pos="0"/>
        </w:tabs>
        <w:spacing w:after="200" w:line="276" w:lineRule="auto"/>
        <w:rPr>
          <w:rFonts w:asciiTheme="majorHAnsi" w:hAnsiTheme="majorHAnsi" w:cs="Times New Roman"/>
          <w:b/>
          <w:color w:val="000000"/>
        </w:rPr>
      </w:pPr>
    </w:p>
    <w:p w14:paraId="435C08EF" w14:textId="4D164896" w:rsidR="00BD789A" w:rsidRDefault="00BD789A" w:rsidP="004A5B15">
      <w:pPr>
        <w:pStyle w:val="Heading1"/>
      </w:pPr>
      <w:r>
        <w:t>Non-Community College Baccalaureate Supply</w:t>
      </w:r>
    </w:p>
    <w:p w14:paraId="3CCF9A9B" w14:textId="1E9AB1B5" w:rsidR="00BD789A" w:rsidRDefault="003617B0" w:rsidP="00BD789A">
      <w:pPr>
        <w:rPr>
          <w:rFonts w:asciiTheme="majorHAnsi" w:hAnsiTheme="majorHAnsi"/>
        </w:rPr>
      </w:pPr>
      <w:r>
        <w:rPr>
          <w:rFonts w:asciiTheme="majorHAnsi" w:hAnsiTheme="majorHAnsi"/>
        </w:rPr>
        <w:t>Exhibit 10</w:t>
      </w:r>
      <w:r w:rsidR="00BD789A" w:rsidRPr="00263C73">
        <w:rPr>
          <w:rFonts w:asciiTheme="majorHAnsi" w:hAnsiTheme="majorHAnsi"/>
        </w:rPr>
        <w:t xml:space="preserve"> shows the three-year average number of </w:t>
      </w:r>
      <w:r w:rsidR="00BD789A">
        <w:rPr>
          <w:rFonts w:asciiTheme="majorHAnsi" w:hAnsiTheme="majorHAnsi"/>
        </w:rPr>
        <w:t xml:space="preserve">bachelor’s degrees </w:t>
      </w:r>
      <w:r w:rsidR="00BD789A" w:rsidRPr="00263C73">
        <w:rPr>
          <w:rFonts w:asciiTheme="majorHAnsi" w:hAnsiTheme="majorHAnsi"/>
        </w:rPr>
        <w:t xml:space="preserve">conferred by </w:t>
      </w:r>
      <w:r w:rsidR="00BD789A">
        <w:rPr>
          <w:rFonts w:asciiTheme="majorHAnsi" w:hAnsiTheme="majorHAnsi"/>
        </w:rPr>
        <w:t>non-community college institutions</w:t>
      </w:r>
      <w:r w:rsidR="00BD789A" w:rsidRPr="00263C73">
        <w:rPr>
          <w:rFonts w:asciiTheme="majorHAnsi" w:hAnsiTheme="majorHAnsi"/>
        </w:rPr>
        <w:t xml:space="preserve"> in programs that provide training for </w:t>
      </w:r>
      <w:r w:rsidR="00BD789A">
        <w:rPr>
          <w:rFonts w:asciiTheme="majorHAnsi" w:hAnsiTheme="majorHAnsi"/>
        </w:rPr>
        <w:t>work roles related to public health informatics and technology</w:t>
      </w:r>
      <w:r w:rsidR="00BD789A" w:rsidRPr="00263C73">
        <w:rPr>
          <w:rFonts w:asciiTheme="majorHAnsi" w:hAnsiTheme="majorHAnsi"/>
        </w:rPr>
        <w:t xml:space="preserve">. </w:t>
      </w:r>
      <w:r w:rsidR="00BD789A">
        <w:rPr>
          <w:rFonts w:asciiTheme="majorHAnsi" w:hAnsiTheme="majorHAnsi"/>
        </w:rPr>
        <w:t xml:space="preserve">Due to different reporting deadlines, this three-year average is derived from the 2017-18, 2018-19, and 2019-20 academic years. The two </w:t>
      </w:r>
      <w:r w:rsidR="00BC6047">
        <w:rPr>
          <w:rFonts w:asciiTheme="majorHAnsi" w:hAnsiTheme="majorHAnsi"/>
        </w:rPr>
        <w:t xml:space="preserve">program areas </w:t>
      </w:r>
      <w:r w:rsidR="00BD789A">
        <w:rPr>
          <w:rFonts w:asciiTheme="majorHAnsi" w:hAnsiTheme="majorHAnsi"/>
        </w:rPr>
        <w:t xml:space="preserve">that </w:t>
      </w:r>
      <w:r w:rsidR="00E75DD7">
        <w:rPr>
          <w:rFonts w:asciiTheme="majorHAnsi" w:hAnsiTheme="majorHAnsi"/>
        </w:rPr>
        <w:t xml:space="preserve">have </w:t>
      </w:r>
      <w:r w:rsidR="00BC6047">
        <w:rPr>
          <w:rFonts w:asciiTheme="majorHAnsi" w:hAnsiTheme="majorHAnsi"/>
        </w:rPr>
        <w:t>yielded</w:t>
      </w:r>
      <w:r w:rsidR="00BD789A">
        <w:rPr>
          <w:rFonts w:asciiTheme="majorHAnsi" w:hAnsiTheme="majorHAnsi"/>
        </w:rPr>
        <w:t xml:space="preserve"> bachelor’s degrees </w:t>
      </w:r>
      <w:r w:rsidR="00BC6047">
        <w:rPr>
          <w:rFonts w:asciiTheme="majorHAnsi" w:hAnsiTheme="majorHAnsi"/>
        </w:rPr>
        <w:t>related to public health informatics and technology are Health Communication (CIP 09.0905) and</w:t>
      </w:r>
      <w:r w:rsidR="00BD789A">
        <w:rPr>
          <w:rFonts w:asciiTheme="majorHAnsi" w:hAnsiTheme="majorHAnsi"/>
        </w:rPr>
        <w:t xml:space="preserve"> </w:t>
      </w:r>
      <w:r w:rsidR="00E75DD7" w:rsidRPr="00BD789A">
        <w:rPr>
          <w:rFonts w:asciiTheme="majorHAnsi" w:hAnsiTheme="majorHAnsi"/>
        </w:rPr>
        <w:t>Public Health Education and Promotion</w:t>
      </w:r>
      <w:r w:rsidR="00E75DD7">
        <w:rPr>
          <w:rFonts w:asciiTheme="majorHAnsi" w:hAnsiTheme="majorHAnsi"/>
        </w:rPr>
        <w:t xml:space="preserve"> </w:t>
      </w:r>
      <w:r w:rsidR="00BD789A">
        <w:rPr>
          <w:rFonts w:asciiTheme="majorHAnsi" w:hAnsiTheme="majorHAnsi"/>
        </w:rPr>
        <w:t>(</w:t>
      </w:r>
      <w:r w:rsidR="00E75DD7">
        <w:rPr>
          <w:rFonts w:asciiTheme="majorHAnsi" w:hAnsiTheme="majorHAnsi"/>
        </w:rPr>
        <w:t>CIP</w:t>
      </w:r>
      <w:r w:rsidR="00BD789A">
        <w:rPr>
          <w:rFonts w:asciiTheme="majorHAnsi" w:hAnsiTheme="majorHAnsi"/>
        </w:rPr>
        <w:t xml:space="preserve"> </w:t>
      </w:r>
      <w:r w:rsidR="00E75DD7">
        <w:rPr>
          <w:rFonts w:asciiTheme="majorHAnsi" w:hAnsiTheme="majorHAnsi"/>
        </w:rPr>
        <w:t>51.2207</w:t>
      </w:r>
      <w:r w:rsidR="00BD789A">
        <w:rPr>
          <w:rFonts w:asciiTheme="majorHAnsi" w:hAnsiTheme="majorHAnsi"/>
        </w:rPr>
        <w:t xml:space="preserve">), issuing a three-year average of </w:t>
      </w:r>
      <w:r w:rsidR="00BC6047">
        <w:rPr>
          <w:rFonts w:asciiTheme="majorHAnsi" w:hAnsiTheme="majorHAnsi"/>
        </w:rPr>
        <w:t xml:space="preserve">45 and </w:t>
      </w:r>
      <w:r w:rsidR="00E75DD7">
        <w:rPr>
          <w:rFonts w:asciiTheme="majorHAnsi" w:hAnsiTheme="majorHAnsi"/>
        </w:rPr>
        <w:t>10</w:t>
      </w:r>
      <w:r w:rsidR="00BD789A">
        <w:rPr>
          <w:rFonts w:asciiTheme="majorHAnsi" w:hAnsiTheme="majorHAnsi"/>
        </w:rPr>
        <w:t xml:space="preserve"> bachelor’s degrees</w:t>
      </w:r>
      <w:r w:rsidR="00BC6047">
        <w:rPr>
          <w:rFonts w:asciiTheme="majorHAnsi" w:hAnsiTheme="majorHAnsi"/>
        </w:rPr>
        <w:t xml:space="preserve"> issued, respectively</w:t>
      </w:r>
      <w:r w:rsidR="00BD789A">
        <w:rPr>
          <w:rFonts w:asciiTheme="majorHAnsi" w:hAnsiTheme="majorHAnsi"/>
        </w:rPr>
        <w:t xml:space="preserve">. </w:t>
      </w:r>
    </w:p>
    <w:p w14:paraId="54C26348" w14:textId="2180D62D" w:rsidR="00BD789A" w:rsidRPr="00E75DD7" w:rsidRDefault="00E75DD7" w:rsidP="00E75DD7">
      <w:pPr>
        <w:pStyle w:val="TableHeading"/>
        <w:rPr>
          <w:szCs w:val="24"/>
        </w:rPr>
      </w:pPr>
      <w:r>
        <w:rPr>
          <w:szCs w:val="24"/>
        </w:rPr>
        <w:t xml:space="preserve">Exhibit </w:t>
      </w:r>
      <w:r w:rsidR="003617B0">
        <w:rPr>
          <w:szCs w:val="24"/>
        </w:rPr>
        <w:t>10</w:t>
      </w:r>
      <w:r w:rsidRPr="00263C73">
        <w:rPr>
          <w:szCs w:val="24"/>
        </w:rPr>
        <w:t xml:space="preserve">: </w:t>
      </w:r>
      <w:r>
        <w:rPr>
          <w:szCs w:val="24"/>
        </w:rPr>
        <w:t>Statewide</w:t>
      </w:r>
      <w:r w:rsidRPr="00263C73">
        <w:rPr>
          <w:szCs w:val="24"/>
        </w:rPr>
        <w:t xml:space="preserve"> </w:t>
      </w:r>
      <w:r>
        <w:rPr>
          <w:szCs w:val="24"/>
        </w:rPr>
        <w:t>non-community college bachelor’s degrees issued, 2017-2020 average</w:t>
      </w:r>
    </w:p>
    <w:tbl>
      <w:tblPr>
        <w:tblpPr w:leftFromText="180" w:rightFromText="180" w:vertAnchor="text" w:tblpY="1"/>
        <w:tblOverlap w:val="never"/>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4"/>
        <w:gridCol w:w="2683"/>
        <w:gridCol w:w="3632"/>
        <w:gridCol w:w="1980"/>
      </w:tblGrid>
      <w:tr w:rsidR="00BD789A" w:rsidRPr="00263C73" w14:paraId="589C39CE" w14:textId="77777777" w:rsidTr="00BC6047">
        <w:trPr>
          <w:trHeight w:val="288"/>
          <w:tblHeader/>
        </w:trPr>
        <w:tc>
          <w:tcPr>
            <w:tcW w:w="0" w:type="auto"/>
            <w:shd w:val="clear" w:color="auto" w:fill="E0EE7C" w:themeFill="accent3" w:themeFillTint="66"/>
            <w:noWrap/>
            <w:vAlign w:val="center"/>
            <w:hideMark/>
          </w:tcPr>
          <w:p w14:paraId="055BB373" w14:textId="77777777" w:rsidR="00E93E47" w:rsidRDefault="00BD789A" w:rsidP="00EA145D">
            <w:pPr>
              <w:pStyle w:val="TableColumnTitles"/>
              <w:rPr>
                <w:szCs w:val="24"/>
              </w:rPr>
            </w:pPr>
            <w:r>
              <w:rPr>
                <w:szCs w:val="24"/>
              </w:rPr>
              <w:t>CIP</w:t>
            </w:r>
            <w:r w:rsidRPr="00263C73">
              <w:rPr>
                <w:szCs w:val="24"/>
              </w:rPr>
              <w:t xml:space="preserve"> </w:t>
            </w:r>
          </w:p>
          <w:p w14:paraId="78FA6537" w14:textId="5F7778A1" w:rsidR="00BD789A" w:rsidRPr="00263C73" w:rsidRDefault="00BD789A" w:rsidP="00EA145D">
            <w:pPr>
              <w:pStyle w:val="TableColumnTitles"/>
              <w:rPr>
                <w:szCs w:val="24"/>
              </w:rPr>
            </w:pPr>
            <w:r w:rsidRPr="00263C73">
              <w:rPr>
                <w:szCs w:val="24"/>
              </w:rPr>
              <w:t>Code</w:t>
            </w:r>
          </w:p>
        </w:tc>
        <w:tc>
          <w:tcPr>
            <w:tcW w:w="2683" w:type="dxa"/>
            <w:shd w:val="clear" w:color="auto" w:fill="E0EE7C" w:themeFill="accent3" w:themeFillTint="66"/>
            <w:noWrap/>
            <w:vAlign w:val="center"/>
            <w:hideMark/>
          </w:tcPr>
          <w:p w14:paraId="3909F780" w14:textId="77777777" w:rsidR="00BD789A" w:rsidRPr="00263C73" w:rsidRDefault="00BD789A" w:rsidP="00EA145D">
            <w:pPr>
              <w:pStyle w:val="TableColumnTitles"/>
              <w:rPr>
                <w:szCs w:val="24"/>
              </w:rPr>
            </w:pPr>
            <w:r w:rsidRPr="00263C73">
              <w:rPr>
                <w:szCs w:val="24"/>
              </w:rPr>
              <w:t>Program</w:t>
            </w:r>
          </w:p>
        </w:tc>
        <w:tc>
          <w:tcPr>
            <w:tcW w:w="3632" w:type="dxa"/>
            <w:shd w:val="clear" w:color="auto" w:fill="E0EE7C" w:themeFill="accent3" w:themeFillTint="66"/>
            <w:noWrap/>
            <w:vAlign w:val="center"/>
            <w:hideMark/>
          </w:tcPr>
          <w:p w14:paraId="4E68C18A" w14:textId="77777777" w:rsidR="00BD789A" w:rsidRPr="00263C73" w:rsidRDefault="00BD789A" w:rsidP="00EA145D">
            <w:pPr>
              <w:pStyle w:val="TableColumnTitles"/>
              <w:jc w:val="left"/>
              <w:rPr>
                <w:szCs w:val="24"/>
              </w:rPr>
            </w:pPr>
            <w:r w:rsidRPr="00263C73">
              <w:rPr>
                <w:szCs w:val="24"/>
              </w:rPr>
              <w:t>College</w:t>
            </w:r>
          </w:p>
        </w:tc>
        <w:tc>
          <w:tcPr>
            <w:tcW w:w="1980" w:type="dxa"/>
            <w:shd w:val="clear" w:color="auto" w:fill="E0EE7C" w:themeFill="accent3" w:themeFillTint="66"/>
            <w:vAlign w:val="center"/>
            <w:hideMark/>
          </w:tcPr>
          <w:p w14:paraId="23D5B562" w14:textId="36EC5AC0" w:rsidR="00BD789A" w:rsidRPr="00263C73" w:rsidRDefault="00BD789A" w:rsidP="00EA145D">
            <w:pPr>
              <w:pStyle w:val="TableColumnTitles"/>
              <w:spacing w:before="60" w:after="60"/>
              <w:rPr>
                <w:szCs w:val="24"/>
              </w:rPr>
            </w:pPr>
            <w:r w:rsidRPr="00263C73">
              <w:rPr>
                <w:szCs w:val="24"/>
              </w:rPr>
              <w:t>3-Year</w:t>
            </w:r>
            <w:r>
              <w:rPr>
                <w:szCs w:val="24"/>
              </w:rPr>
              <w:t xml:space="preserve"> </w:t>
            </w:r>
            <w:r w:rsidRPr="00263C73">
              <w:rPr>
                <w:szCs w:val="24"/>
              </w:rPr>
              <w:t>Average</w:t>
            </w:r>
            <w:r>
              <w:rPr>
                <w:szCs w:val="24"/>
              </w:rPr>
              <w:t xml:space="preserve"> Bachelor’s Degrees Issued </w:t>
            </w:r>
            <w:r w:rsidRPr="00263C73">
              <w:rPr>
                <w:szCs w:val="24"/>
              </w:rPr>
              <w:t xml:space="preserve"> </w:t>
            </w:r>
          </w:p>
        </w:tc>
      </w:tr>
      <w:tr w:rsidR="00BD789A" w:rsidRPr="00263C73" w14:paraId="1C1E406E" w14:textId="77777777" w:rsidTr="00BC6047">
        <w:trPr>
          <w:trHeight w:val="360"/>
        </w:trPr>
        <w:tc>
          <w:tcPr>
            <w:tcW w:w="0" w:type="auto"/>
            <w:vMerge w:val="restart"/>
            <w:shd w:val="clear" w:color="auto" w:fill="auto"/>
            <w:noWrap/>
            <w:vAlign w:val="center"/>
          </w:tcPr>
          <w:p w14:paraId="7C627F6E" w14:textId="123FE158" w:rsidR="00BD789A" w:rsidRPr="00263C73" w:rsidRDefault="00BC6047" w:rsidP="00EA145D">
            <w:pPr>
              <w:keepNext/>
              <w:spacing w:after="0" w:line="240" w:lineRule="auto"/>
              <w:jc w:val="center"/>
              <w:rPr>
                <w:rFonts w:asciiTheme="majorHAnsi" w:hAnsiTheme="majorHAnsi"/>
              </w:rPr>
            </w:pPr>
            <w:r>
              <w:rPr>
                <w:rFonts w:asciiTheme="majorHAnsi" w:hAnsiTheme="majorHAnsi"/>
              </w:rPr>
              <w:t>09.0905</w:t>
            </w:r>
          </w:p>
        </w:tc>
        <w:tc>
          <w:tcPr>
            <w:tcW w:w="2683" w:type="dxa"/>
            <w:vMerge w:val="restart"/>
            <w:shd w:val="clear" w:color="auto" w:fill="FFFFFF" w:themeFill="background1"/>
            <w:noWrap/>
            <w:vAlign w:val="center"/>
          </w:tcPr>
          <w:p w14:paraId="69BF98DE" w14:textId="28D5A709" w:rsidR="00BD789A" w:rsidRPr="00263C73" w:rsidRDefault="00BC6047" w:rsidP="00EA145D">
            <w:pPr>
              <w:keepNext/>
              <w:spacing w:after="0" w:line="240" w:lineRule="auto"/>
              <w:jc w:val="center"/>
              <w:rPr>
                <w:rFonts w:asciiTheme="majorHAnsi" w:hAnsiTheme="majorHAnsi"/>
              </w:rPr>
            </w:pPr>
            <w:r>
              <w:rPr>
                <w:rFonts w:asciiTheme="majorHAnsi" w:hAnsiTheme="majorHAnsi"/>
              </w:rPr>
              <w:t>Health Communication</w:t>
            </w:r>
          </w:p>
        </w:tc>
        <w:tc>
          <w:tcPr>
            <w:tcW w:w="3632" w:type="dxa"/>
            <w:shd w:val="clear" w:color="auto" w:fill="FFFFFF" w:themeFill="background1"/>
            <w:noWrap/>
            <w:vAlign w:val="center"/>
          </w:tcPr>
          <w:p w14:paraId="76586ADD" w14:textId="62161435" w:rsidR="00BD789A" w:rsidRPr="00B611F2" w:rsidRDefault="00BC6047" w:rsidP="00EA145D">
            <w:pPr>
              <w:spacing w:after="0" w:line="240" w:lineRule="auto"/>
              <w:rPr>
                <w:rFonts w:cs="Calibri"/>
              </w:rPr>
            </w:pPr>
            <w:r>
              <w:rPr>
                <w:rFonts w:cs="Calibri"/>
                <w:bCs/>
                <w:color w:val="000000"/>
              </w:rPr>
              <w:t>Pacific Union College</w:t>
            </w:r>
          </w:p>
        </w:tc>
        <w:tc>
          <w:tcPr>
            <w:tcW w:w="1980" w:type="dxa"/>
            <w:shd w:val="clear" w:color="auto" w:fill="FFFFFF" w:themeFill="background1"/>
            <w:vAlign w:val="center"/>
          </w:tcPr>
          <w:p w14:paraId="3908A7E8" w14:textId="31AF22AD" w:rsidR="00BD789A" w:rsidRPr="00B611F2" w:rsidRDefault="00BC6047" w:rsidP="00EA145D">
            <w:pPr>
              <w:spacing w:after="0" w:line="240" w:lineRule="auto"/>
              <w:jc w:val="center"/>
              <w:rPr>
                <w:rFonts w:cs="Calibri"/>
              </w:rPr>
            </w:pPr>
            <w:r>
              <w:rPr>
                <w:rFonts w:cs="Calibri"/>
                <w:bCs/>
                <w:color w:val="000000"/>
              </w:rPr>
              <w:t>9</w:t>
            </w:r>
          </w:p>
        </w:tc>
      </w:tr>
      <w:tr w:rsidR="00BD789A" w:rsidRPr="00263C73" w14:paraId="66D4198E" w14:textId="77777777" w:rsidTr="00BC6047">
        <w:trPr>
          <w:trHeight w:val="360"/>
        </w:trPr>
        <w:tc>
          <w:tcPr>
            <w:tcW w:w="0" w:type="auto"/>
            <w:vMerge/>
            <w:shd w:val="clear" w:color="auto" w:fill="auto"/>
            <w:noWrap/>
            <w:vAlign w:val="center"/>
          </w:tcPr>
          <w:p w14:paraId="4F9A8AEF" w14:textId="77777777" w:rsidR="00BD789A" w:rsidRPr="00263C73" w:rsidRDefault="00BD789A" w:rsidP="00EA145D">
            <w:pPr>
              <w:keepNext/>
              <w:spacing w:after="0" w:line="240" w:lineRule="auto"/>
              <w:jc w:val="center"/>
              <w:rPr>
                <w:rFonts w:asciiTheme="majorHAnsi" w:hAnsiTheme="majorHAnsi"/>
              </w:rPr>
            </w:pPr>
          </w:p>
        </w:tc>
        <w:tc>
          <w:tcPr>
            <w:tcW w:w="2683" w:type="dxa"/>
            <w:vMerge/>
            <w:shd w:val="clear" w:color="auto" w:fill="FFFFFF" w:themeFill="background1"/>
            <w:noWrap/>
            <w:vAlign w:val="center"/>
          </w:tcPr>
          <w:p w14:paraId="76D0DDE5" w14:textId="77777777" w:rsidR="00BD789A" w:rsidRPr="00263C73" w:rsidRDefault="00BD789A" w:rsidP="00EA145D">
            <w:pPr>
              <w:keepNext/>
              <w:spacing w:after="0" w:line="240" w:lineRule="auto"/>
              <w:jc w:val="center"/>
              <w:rPr>
                <w:rFonts w:asciiTheme="majorHAnsi" w:hAnsiTheme="majorHAnsi"/>
              </w:rPr>
            </w:pPr>
          </w:p>
        </w:tc>
        <w:tc>
          <w:tcPr>
            <w:tcW w:w="3632" w:type="dxa"/>
            <w:shd w:val="clear" w:color="auto" w:fill="FFFFFF" w:themeFill="background1"/>
            <w:noWrap/>
            <w:vAlign w:val="center"/>
          </w:tcPr>
          <w:p w14:paraId="45DD89AF" w14:textId="248D23BD" w:rsidR="00BD789A" w:rsidRPr="00B611F2" w:rsidRDefault="00BC6047" w:rsidP="00EA145D">
            <w:pPr>
              <w:spacing w:after="0" w:line="240" w:lineRule="auto"/>
              <w:rPr>
                <w:rFonts w:cs="Calibri"/>
              </w:rPr>
            </w:pPr>
            <w:r>
              <w:rPr>
                <w:rFonts w:cs="Calibri"/>
                <w:bCs/>
                <w:color w:val="000000"/>
              </w:rPr>
              <w:t>San Diego State University</w:t>
            </w:r>
          </w:p>
        </w:tc>
        <w:tc>
          <w:tcPr>
            <w:tcW w:w="1980" w:type="dxa"/>
            <w:shd w:val="clear" w:color="auto" w:fill="FFFFFF" w:themeFill="background1"/>
            <w:vAlign w:val="center"/>
          </w:tcPr>
          <w:p w14:paraId="5EF7E334" w14:textId="17CD0D33" w:rsidR="00BD789A" w:rsidRPr="00B611F2" w:rsidRDefault="00BC6047" w:rsidP="00EA145D">
            <w:pPr>
              <w:spacing w:after="0" w:line="240" w:lineRule="auto"/>
              <w:jc w:val="center"/>
              <w:rPr>
                <w:rFonts w:cs="Calibri"/>
              </w:rPr>
            </w:pPr>
            <w:r>
              <w:rPr>
                <w:rFonts w:cs="Calibri"/>
                <w:bCs/>
                <w:color w:val="000000"/>
              </w:rPr>
              <w:t>36</w:t>
            </w:r>
          </w:p>
        </w:tc>
      </w:tr>
      <w:tr w:rsidR="00BC6047" w:rsidRPr="00263C73" w14:paraId="486AFBF4" w14:textId="77777777" w:rsidTr="00BC6047">
        <w:trPr>
          <w:trHeight w:val="360"/>
        </w:trPr>
        <w:tc>
          <w:tcPr>
            <w:tcW w:w="0" w:type="auto"/>
            <w:shd w:val="clear" w:color="auto" w:fill="E7E7E7" w:themeFill="text1" w:themeFillTint="1A"/>
            <w:noWrap/>
            <w:vAlign w:val="center"/>
          </w:tcPr>
          <w:p w14:paraId="1D1F0706" w14:textId="77777777" w:rsidR="00BC6047" w:rsidRPr="00263C73" w:rsidRDefault="00BC6047" w:rsidP="00BC6047">
            <w:pPr>
              <w:keepNext/>
              <w:spacing w:after="0" w:line="240" w:lineRule="auto"/>
              <w:jc w:val="center"/>
              <w:rPr>
                <w:rFonts w:asciiTheme="majorHAnsi" w:hAnsiTheme="majorHAnsi"/>
              </w:rPr>
            </w:pPr>
          </w:p>
        </w:tc>
        <w:tc>
          <w:tcPr>
            <w:tcW w:w="2683" w:type="dxa"/>
            <w:shd w:val="clear" w:color="auto" w:fill="E7E7E7" w:themeFill="text1" w:themeFillTint="1A"/>
            <w:noWrap/>
            <w:vAlign w:val="center"/>
          </w:tcPr>
          <w:p w14:paraId="4A5D3FA1" w14:textId="77777777" w:rsidR="00BC6047" w:rsidRPr="00263C73" w:rsidRDefault="00BC6047" w:rsidP="00BC6047">
            <w:pPr>
              <w:keepNext/>
              <w:spacing w:after="0" w:line="240" w:lineRule="auto"/>
              <w:jc w:val="center"/>
              <w:rPr>
                <w:rFonts w:asciiTheme="majorHAnsi" w:hAnsiTheme="majorHAnsi"/>
              </w:rPr>
            </w:pPr>
          </w:p>
        </w:tc>
        <w:tc>
          <w:tcPr>
            <w:tcW w:w="3632" w:type="dxa"/>
            <w:shd w:val="clear" w:color="auto" w:fill="E7E7E7" w:themeFill="text1" w:themeFillTint="1A"/>
            <w:noWrap/>
            <w:vAlign w:val="center"/>
          </w:tcPr>
          <w:p w14:paraId="765EE425" w14:textId="08EF763B" w:rsidR="00BC6047" w:rsidRDefault="00BC6047" w:rsidP="00BC6047">
            <w:pPr>
              <w:spacing w:after="0" w:line="240" w:lineRule="auto"/>
              <w:jc w:val="right"/>
              <w:rPr>
                <w:rFonts w:cs="Calibri"/>
                <w:bCs/>
                <w:color w:val="000000"/>
              </w:rPr>
            </w:pPr>
            <w:r>
              <w:rPr>
                <w:rFonts w:asciiTheme="majorHAnsi" w:hAnsiTheme="majorHAnsi"/>
                <w:b/>
              </w:rPr>
              <w:t>Subt</w:t>
            </w:r>
            <w:r w:rsidRPr="00263C73">
              <w:rPr>
                <w:rFonts w:asciiTheme="majorHAnsi" w:hAnsiTheme="majorHAnsi"/>
                <w:b/>
              </w:rPr>
              <w:t>otal/Average</w:t>
            </w:r>
          </w:p>
        </w:tc>
        <w:tc>
          <w:tcPr>
            <w:tcW w:w="1980" w:type="dxa"/>
            <w:shd w:val="clear" w:color="auto" w:fill="E7E7E7" w:themeFill="text1" w:themeFillTint="1A"/>
            <w:vAlign w:val="center"/>
          </w:tcPr>
          <w:p w14:paraId="3163456C" w14:textId="75E362FF" w:rsidR="00BC6047" w:rsidRDefault="00BC6047" w:rsidP="00BC6047">
            <w:pPr>
              <w:spacing w:after="0" w:line="240" w:lineRule="auto"/>
              <w:jc w:val="center"/>
              <w:rPr>
                <w:rFonts w:cs="Calibri"/>
                <w:bCs/>
                <w:color w:val="000000"/>
              </w:rPr>
            </w:pPr>
            <w:r>
              <w:rPr>
                <w:rFonts w:asciiTheme="majorHAnsi" w:hAnsiTheme="majorHAnsi" w:cs="Calibri"/>
                <w:b/>
                <w:bCs/>
              </w:rPr>
              <w:t>45</w:t>
            </w:r>
          </w:p>
        </w:tc>
      </w:tr>
      <w:tr w:rsidR="00BC6047" w:rsidRPr="00263C73" w14:paraId="6164D068" w14:textId="77777777" w:rsidTr="00BC6047">
        <w:trPr>
          <w:trHeight w:val="360"/>
        </w:trPr>
        <w:tc>
          <w:tcPr>
            <w:tcW w:w="0" w:type="auto"/>
            <w:vMerge w:val="restart"/>
            <w:shd w:val="clear" w:color="auto" w:fill="auto"/>
            <w:noWrap/>
            <w:vAlign w:val="center"/>
          </w:tcPr>
          <w:p w14:paraId="654D2BAD" w14:textId="4C381F39" w:rsidR="00BC6047" w:rsidRPr="00263C73" w:rsidRDefault="00BC6047" w:rsidP="00BC6047">
            <w:pPr>
              <w:keepNext/>
              <w:spacing w:after="0" w:line="240" w:lineRule="auto"/>
              <w:jc w:val="center"/>
              <w:rPr>
                <w:rFonts w:asciiTheme="majorHAnsi" w:hAnsiTheme="majorHAnsi"/>
              </w:rPr>
            </w:pPr>
            <w:r>
              <w:rPr>
                <w:rFonts w:asciiTheme="majorHAnsi" w:hAnsiTheme="majorHAnsi"/>
              </w:rPr>
              <w:t>51.2207</w:t>
            </w:r>
          </w:p>
        </w:tc>
        <w:tc>
          <w:tcPr>
            <w:tcW w:w="2683" w:type="dxa"/>
            <w:vMerge w:val="restart"/>
            <w:shd w:val="clear" w:color="auto" w:fill="FFFFFF" w:themeFill="background1"/>
            <w:noWrap/>
            <w:vAlign w:val="center"/>
          </w:tcPr>
          <w:p w14:paraId="5C917A84" w14:textId="2012BEA0" w:rsidR="00BC6047" w:rsidRPr="00263C73" w:rsidRDefault="00BC6047" w:rsidP="00BC6047">
            <w:pPr>
              <w:keepNext/>
              <w:spacing w:after="0" w:line="240" w:lineRule="auto"/>
              <w:jc w:val="center"/>
              <w:rPr>
                <w:rFonts w:asciiTheme="majorHAnsi" w:hAnsiTheme="majorHAnsi"/>
              </w:rPr>
            </w:pPr>
            <w:r w:rsidRPr="00BD789A">
              <w:rPr>
                <w:rFonts w:asciiTheme="majorHAnsi" w:hAnsiTheme="majorHAnsi"/>
              </w:rPr>
              <w:t>Public Health Education and Promotion</w:t>
            </w:r>
          </w:p>
        </w:tc>
        <w:tc>
          <w:tcPr>
            <w:tcW w:w="3632" w:type="dxa"/>
            <w:shd w:val="clear" w:color="auto" w:fill="FFFFFF" w:themeFill="background1"/>
            <w:noWrap/>
            <w:vAlign w:val="center"/>
          </w:tcPr>
          <w:p w14:paraId="5415FEA8" w14:textId="0A27CFB4" w:rsidR="00BC6047" w:rsidRPr="00BD789A" w:rsidRDefault="00BC6047" w:rsidP="00BC6047">
            <w:pPr>
              <w:spacing w:after="0" w:line="240" w:lineRule="auto"/>
              <w:rPr>
                <w:rFonts w:cs="Calibri"/>
                <w:bCs/>
                <w:color w:val="000000"/>
              </w:rPr>
            </w:pPr>
            <w:r w:rsidRPr="00BD789A">
              <w:rPr>
                <w:rFonts w:cs="Calibri"/>
                <w:bCs/>
                <w:color w:val="000000"/>
              </w:rPr>
              <w:t>California Baptist University</w:t>
            </w:r>
          </w:p>
        </w:tc>
        <w:tc>
          <w:tcPr>
            <w:tcW w:w="1980" w:type="dxa"/>
            <w:shd w:val="clear" w:color="auto" w:fill="FFFFFF" w:themeFill="background1"/>
            <w:vAlign w:val="center"/>
          </w:tcPr>
          <w:p w14:paraId="6AD751AA" w14:textId="3457DC1F" w:rsidR="00BC6047" w:rsidRDefault="00BC6047" w:rsidP="00BC6047">
            <w:pPr>
              <w:spacing w:after="0" w:line="240" w:lineRule="auto"/>
              <w:jc w:val="center"/>
              <w:rPr>
                <w:rFonts w:cs="Calibri"/>
                <w:bCs/>
                <w:color w:val="000000"/>
              </w:rPr>
            </w:pPr>
            <w:r>
              <w:rPr>
                <w:rFonts w:cs="Calibri"/>
                <w:bCs/>
                <w:color w:val="000000"/>
              </w:rPr>
              <w:t>2</w:t>
            </w:r>
          </w:p>
        </w:tc>
      </w:tr>
      <w:tr w:rsidR="00BC6047" w:rsidRPr="00263C73" w14:paraId="5C284693" w14:textId="77777777" w:rsidTr="00BC6047">
        <w:trPr>
          <w:trHeight w:val="360"/>
        </w:trPr>
        <w:tc>
          <w:tcPr>
            <w:tcW w:w="0" w:type="auto"/>
            <w:vMerge/>
            <w:shd w:val="clear" w:color="auto" w:fill="auto"/>
            <w:noWrap/>
            <w:vAlign w:val="center"/>
          </w:tcPr>
          <w:p w14:paraId="739C041D" w14:textId="77777777" w:rsidR="00BC6047" w:rsidRPr="00263C73" w:rsidRDefault="00BC6047" w:rsidP="00BC6047">
            <w:pPr>
              <w:keepNext/>
              <w:spacing w:after="0" w:line="240" w:lineRule="auto"/>
              <w:jc w:val="center"/>
              <w:rPr>
                <w:rFonts w:asciiTheme="majorHAnsi" w:hAnsiTheme="majorHAnsi"/>
              </w:rPr>
            </w:pPr>
          </w:p>
        </w:tc>
        <w:tc>
          <w:tcPr>
            <w:tcW w:w="2683" w:type="dxa"/>
            <w:vMerge/>
            <w:shd w:val="clear" w:color="auto" w:fill="FFFFFF" w:themeFill="background1"/>
            <w:noWrap/>
            <w:vAlign w:val="center"/>
          </w:tcPr>
          <w:p w14:paraId="4356C0AD" w14:textId="77777777" w:rsidR="00BC6047" w:rsidRPr="00263C73" w:rsidRDefault="00BC6047" w:rsidP="00BC6047">
            <w:pPr>
              <w:keepNext/>
              <w:spacing w:after="0" w:line="240" w:lineRule="auto"/>
              <w:jc w:val="center"/>
              <w:rPr>
                <w:rFonts w:asciiTheme="majorHAnsi" w:hAnsiTheme="majorHAnsi"/>
              </w:rPr>
            </w:pPr>
          </w:p>
        </w:tc>
        <w:tc>
          <w:tcPr>
            <w:tcW w:w="3632" w:type="dxa"/>
            <w:shd w:val="clear" w:color="auto" w:fill="FFFFFF" w:themeFill="background1"/>
            <w:noWrap/>
            <w:vAlign w:val="center"/>
          </w:tcPr>
          <w:p w14:paraId="722A754D" w14:textId="29A45FCA" w:rsidR="00BC6047" w:rsidRPr="00BD789A" w:rsidRDefault="00BC6047" w:rsidP="00BC6047">
            <w:pPr>
              <w:spacing w:after="0" w:line="240" w:lineRule="auto"/>
              <w:rPr>
                <w:rFonts w:cs="Calibri"/>
                <w:bCs/>
                <w:color w:val="000000"/>
              </w:rPr>
            </w:pPr>
            <w:r w:rsidRPr="00BD789A">
              <w:rPr>
                <w:rFonts w:cs="Calibri"/>
                <w:bCs/>
                <w:color w:val="000000"/>
              </w:rPr>
              <w:t>Dominican University of California</w:t>
            </w:r>
          </w:p>
        </w:tc>
        <w:tc>
          <w:tcPr>
            <w:tcW w:w="1980" w:type="dxa"/>
            <w:shd w:val="clear" w:color="auto" w:fill="FFFFFF" w:themeFill="background1"/>
            <w:vAlign w:val="center"/>
          </w:tcPr>
          <w:p w14:paraId="61E2FD9C" w14:textId="21FB89A6" w:rsidR="00BC6047" w:rsidRDefault="00BC6047" w:rsidP="00BC6047">
            <w:pPr>
              <w:spacing w:after="0" w:line="240" w:lineRule="auto"/>
              <w:jc w:val="center"/>
              <w:rPr>
                <w:rFonts w:cs="Calibri"/>
                <w:bCs/>
                <w:color w:val="000000"/>
              </w:rPr>
            </w:pPr>
            <w:r>
              <w:rPr>
                <w:rFonts w:cs="Calibri"/>
                <w:bCs/>
                <w:color w:val="000000"/>
              </w:rPr>
              <w:t>8</w:t>
            </w:r>
          </w:p>
        </w:tc>
      </w:tr>
      <w:tr w:rsidR="00BC6047" w:rsidRPr="00263C73" w14:paraId="568A9C7E" w14:textId="77777777" w:rsidTr="00BC6047">
        <w:trPr>
          <w:trHeight w:val="360"/>
        </w:trPr>
        <w:tc>
          <w:tcPr>
            <w:tcW w:w="0" w:type="auto"/>
            <w:shd w:val="clear" w:color="auto" w:fill="E7E7E7" w:themeFill="text1" w:themeFillTint="1A"/>
            <w:noWrap/>
            <w:vAlign w:val="center"/>
          </w:tcPr>
          <w:p w14:paraId="30310A5E" w14:textId="77777777" w:rsidR="00BC6047" w:rsidRPr="00263C73" w:rsidRDefault="00BC6047" w:rsidP="00BC6047">
            <w:pPr>
              <w:keepNext/>
              <w:spacing w:after="0" w:line="240" w:lineRule="auto"/>
              <w:jc w:val="center"/>
              <w:rPr>
                <w:rFonts w:asciiTheme="majorHAnsi" w:hAnsiTheme="majorHAnsi"/>
              </w:rPr>
            </w:pPr>
          </w:p>
        </w:tc>
        <w:tc>
          <w:tcPr>
            <w:tcW w:w="2683" w:type="dxa"/>
            <w:shd w:val="clear" w:color="auto" w:fill="E7E7E7" w:themeFill="text1" w:themeFillTint="1A"/>
            <w:noWrap/>
            <w:vAlign w:val="center"/>
          </w:tcPr>
          <w:p w14:paraId="64679775" w14:textId="77777777" w:rsidR="00BC6047" w:rsidRPr="00263C73" w:rsidRDefault="00BC6047" w:rsidP="00BC6047">
            <w:pPr>
              <w:keepNext/>
              <w:spacing w:after="0" w:line="240" w:lineRule="auto"/>
              <w:jc w:val="center"/>
              <w:rPr>
                <w:rFonts w:asciiTheme="majorHAnsi" w:hAnsiTheme="majorHAnsi"/>
              </w:rPr>
            </w:pPr>
          </w:p>
        </w:tc>
        <w:tc>
          <w:tcPr>
            <w:tcW w:w="3632" w:type="dxa"/>
            <w:shd w:val="clear" w:color="auto" w:fill="E7E7E7" w:themeFill="text1" w:themeFillTint="1A"/>
            <w:noWrap/>
            <w:vAlign w:val="center"/>
          </w:tcPr>
          <w:p w14:paraId="752A3F23" w14:textId="06FA1F57" w:rsidR="00BC6047" w:rsidRPr="00BD789A" w:rsidRDefault="00BC6047" w:rsidP="00BC6047">
            <w:pPr>
              <w:spacing w:after="0" w:line="240" w:lineRule="auto"/>
              <w:jc w:val="right"/>
              <w:rPr>
                <w:rFonts w:cs="Calibri"/>
                <w:bCs/>
                <w:color w:val="000000"/>
              </w:rPr>
            </w:pPr>
            <w:r>
              <w:rPr>
                <w:rFonts w:asciiTheme="majorHAnsi" w:hAnsiTheme="majorHAnsi"/>
                <w:b/>
              </w:rPr>
              <w:t>Subt</w:t>
            </w:r>
            <w:r w:rsidRPr="00263C73">
              <w:rPr>
                <w:rFonts w:asciiTheme="majorHAnsi" w:hAnsiTheme="majorHAnsi"/>
                <w:b/>
              </w:rPr>
              <w:t>otal/Average</w:t>
            </w:r>
          </w:p>
        </w:tc>
        <w:tc>
          <w:tcPr>
            <w:tcW w:w="1980" w:type="dxa"/>
            <w:shd w:val="clear" w:color="auto" w:fill="E7E7E7" w:themeFill="text1" w:themeFillTint="1A"/>
            <w:vAlign w:val="center"/>
          </w:tcPr>
          <w:p w14:paraId="70C52789" w14:textId="7971A2C6" w:rsidR="00BC6047" w:rsidRDefault="00BC6047" w:rsidP="00BC6047">
            <w:pPr>
              <w:spacing w:after="0" w:line="240" w:lineRule="auto"/>
              <w:jc w:val="center"/>
              <w:rPr>
                <w:rFonts w:cs="Calibri"/>
                <w:bCs/>
                <w:color w:val="000000"/>
              </w:rPr>
            </w:pPr>
            <w:r>
              <w:rPr>
                <w:rFonts w:asciiTheme="majorHAnsi" w:hAnsiTheme="majorHAnsi" w:cs="Calibri"/>
                <w:b/>
                <w:bCs/>
              </w:rPr>
              <w:t>10</w:t>
            </w:r>
          </w:p>
        </w:tc>
      </w:tr>
      <w:tr w:rsidR="00BC6047" w:rsidRPr="00263C73" w14:paraId="4D77C85F" w14:textId="77777777" w:rsidTr="00BC6047">
        <w:trPr>
          <w:trHeight w:val="360"/>
        </w:trPr>
        <w:tc>
          <w:tcPr>
            <w:tcW w:w="7379" w:type="dxa"/>
            <w:gridSpan w:val="3"/>
            <w:shd w:val="clear" w:color="auto" w:fill="CBCBCB" w:themeFill="accent5" w:themeFillTint="99"/>
            <w:noWrap/>
            <w:vAlign w:val="center"/>
          </w:tcPr>
          <w:p w14:paraId="71E54A5A" w14:textId="77777777" w:rsidR="00BC6047" w:rsidRPr="00263C73" w:rsidRDefault="00BC6047" w:rsidP="00BC6047">
            <w:pPr>
              <w:keepNext/>
              <w:spacing w:after="0" w:line="240" w:lineRule="auto"/>
              <w:jc w:val="right"/>
              <w:rPr>
                <w:rFonts w:asciiTheme="majorHAnsi" w:hAnsiTheme="majorHAnsi"/>
                <w:b/>
              </w:rPr>
            </w:pPr>
            <w:r w:rsidRPr="00263C73">
              <w:rPr>
                <w:rFonts w:asciiTheme="majorHAnsi" w:hAnsiTheme="majorHAnsi"/>
                <w:b/>
              </w:rPr>
              <w:t>Total/Average</w:t>
            </w:r>
          </w:p>
        </w:tc>
        <w:tc>
          <w:tcPr>
            <w:tcW w:w="1980" w:type="dxa"/>
            <w:shd w:val="clear" w:color="auto" w:fill="CBCBCB" w:themeFill="accent5" w:themeFillTint="99"/>
            <w:vAlign w:val="center"/>
          </w:tcPr>
          <w:p w14:paraId="046262DF" w14:textId="006B3818" w:rsidR="00BC6047" w:rsidRPr="00263C73" w:rsidRDefault="00BC6047" w:rsidP="00BC6047">
            <w:pPr>
              <w:spacing w:after="0" w:line="240" w:lineRule="auto"/>
              <w:jc w:val="center"/>
              <w:rPr>
                <w:rFonts w:asciiTheme="majorHAnsi" w:hAnsiTheme="majorHAnsi" w:cs="Calibri"/>
                <w:b/>
                <w:bCs/>
              </w:rPr>
            </w:pPr>
            <w:r>
              <w:rPr>
                <w:rFonts w:asciiTheme="majorHAnsi" w:hAnsiTheme="majorHAnsi" w:cs="Calibri"/>
                <w:b/>
                <w:bCs/>
              </w:rPr>
              <w:t>55</w:t>
            </w:r>
          </w:p>
        </w:tc>
      </w:tr>
    </w:tbl>
    <w:p w14:paraId="4059B1F3" w14:textId="77777777" w:rsidR="00BD789A" w:rsidRDefault="00BD789A">
      <w:pPr>
        <w:tabs>
          <w:tab w:val="clear" w:pos="0"/>
        </w:tabs>
        <w:spacing w:after="200" w:line="276" w:lineRule="auto"/>
        <w:rPr>
          <w:rFonts w:asciiTheme="majorHAnsi" w:hAnsiTheme="majorHAnsi" w:cs="Times New Roman"/>
          <w:b/>
          <w:color w:val="000000"/>
        </w:rPr>
      </w:pPr>
    </w:p>
    <w:p w14:paraId="29DE0285" w14:textId="77777777" w:rsidR="00192616" w:rsidRDefault="00192616">
      <w:pPr>
        <w:tabs>
          <w:tab w:val="clear" w:pos="0"/>
        </w:tabs>
        <w:spacing w:after="200" w:line="276" w:lineRule="auto"/>
        <w:rPr>
          <w:rFonts w:asciiTheme="majorHAnsi" w:hAnsiTheme="majorHAnsi"/>
        </w:rPr>
      </w:pPr>
    </w:p>
    <w:p w14:paraId="534D61C4" w14:textId="087C54AE" w:rsidR="00BD789A" w:rsidRDefault="003650A2">
      <w:pPr>
        <w:tabs>
          <w:tab w:val="clear" w:pos="0"/>
        </w:tabs>
        <w:spacing w:after="200" w:line="276" w:lineRule="auto"/>
        <w:rPr>
          <w:rFonts w:asciiTheme="majorHAnsi" w:hAnsiTheme="majorHAnsi"/>
        </w:rPr>
      </w:pPr>
      <w:r>
        <w:rPr>
          <w:rFonts w:asciiTheme="majorHAnsi" w:hAnsiTheme="majorHAnsi"/>
        </w:rPr>
        <w:t xml:space="preserve">Another </w:t>
      </w:r>
      <w:r w:rsidR="00BD789A">
        <w:rPr>
          <w:rFonts w:asciiTheme="majorHAnsi" w:hAnsiTheme="majorHAnsi"/>
        </w:rPr>
        <w:t>related CIP code</w:t>
      </w:r>
      <w:r w:rsidR="00BC6047">
        <w:rPr>
          <w:rFonts w:asciiTheme="majorHAnsi" w:hAnsiTheme="majorHAnsi"/>
        </w:rPr>
        <w:t xml:space="preserve"> without any baccalaureate completions during the most recent three-year period appear below.</w:t>
      </w:r>
    </w:p>
    <w:p w14:paraId="3997945C" w14:textId="4440106A" w:rsidR="00E93E47" w:rsidRPr="00E93E47" w:rsidRDefault="002F378D" w:rsidP="00BD789A">
      <w:pPr>
        <w:pStyle w:val="ListParagraph"/>
        <w:numPr>
          <w:ilvl w:val="0"/>
          <w:numId w:val="30"/>
        </w:numPr>
        <w:tabs>
          <w:tab w:val="clear" w:pos="0"/>
        </w:tabs>
        <w:spacing w:after="200"/>
        <w:rPr>
          <w:rFonts w:asciiTheme="majorHAnsi" w:hAnsiTheme="majorHAnsi"/>
        </w:rPr>
      </w:pPr>
      <w:hyperlink r:id="rId18" w:tooltip="Medical Informatics." w:history="1">
        <w:r w:rsidR="00E93E47" w:rsidRPr="00E93E47">
          <w:rPr>
            <w:rStyle w:val="Hyperlink"/>
            <w:rFonts w:asciiTheme="majorHAnsi" w:hAnsiTheme="majorHAnsi"/>
            <w:bCs/>
          </w:rPr>
          <w:t>Medical</w:t>
        </w:r>
        <w:r w:rsidR="00E93E47" w:rsidRPr="00E93E47">
          <w:rPr>
            <w:rStyle w:val="Hyperlink"/>
            <w:rFonts w:asciiTheme="majorHAnsi" w:hAnsiTheme="majorHAnsi"/>
          </w:rPr>
          <w:t> </w:t>
        </w:r>
        <w:r w:rsidR="00E93E47" w:rsidRPr="00E93E47">
          <w:rPr>
            <w:rStyle w:val="Hyperlink"/>
            <w:rFonts w:asciiTheme="majorHAnsi" w:hAnsiTheme="majorHAnsi"/>
            <w:bCs/>
          </w:rPr>
          <w:t>Info</w:t>
        </w:r>
        <w:r w:rsidR="00E93E47" w:rsidRPr="00E93E47">
          <w:rPr>
            <w:rStyle w:val="Hyperlink"/>
            <w:rFonts w:asciiTheme="majorHAnsi" w:hAnsiTheme="majorHAnsi"/>
          </w:rPr>
          <w:t>rmatics.</w:t>
        </w:r>
      </w:hyperlink>
      <w:r w:rsidR="00E93E47">
        <w:rPr>
          <w:rFonts w:asciiTheme="majorHAnsi" w:hAnsiTheme="majorHAnsi"/>
        </w:rPr>
        <w:t xml:space="preserve"> (CIP 51.2706)</w:t>
      </w:r>
    </w:p>
    <w:p w14:paraId="73B14FAF" w14:textId="0F15E0D4" w:rsidR="00543948" w:rsidRDefault="00543948">
      <w:pPr>
        <w:tabs>
          <w:tab w:val="clear" w:pos="0"/>
        </w:tabs>
        <w:spacing w:after="200" w:line="276" w:lineRule="auto"/>
        <w:rPr>
          <w:rFonts w:asciiTheme="majorHAnsi" w:hAnsiTheme="majorHAnsi" w:cs="Times New Roman"/>
          <w:b/>
          <w:color w:val="000000"/>
        </w:rPr>
      </w:pPr>
    </w:p>
    <w:p w14:paraId="4FE58817" w14:textId="77777777" w:rsidR="00192616" w:rsidRDefault="00192616">
      <w:pPr>
        <w:tabs>
          <w:tab w:val="clear" w:pos="0"/>
        </w:tabs>
        <w:spacing w:after="200" w:line="276" w:lineRule="auto"/>
        <w:rPr>
          <w:rFonts w:asciiTheme="majorHAnsi" w:hAnsiTheme="majorHAnsi" w:cs="Times New Roman"/>
          <w:b/>
          <w:color w:val="000000"/>
        </w:rPr>
      </w:pPr>
      <w:r>
        <w:rPr>
          <w:rFonts w:asciiTheme="majorHAnsi" w:hAnsiTheme="majorHAnsi"/>
        </w:rPr>
        <w:br w:type="page"/>
      </w:r>
    </w:p>
    <w:p w14:paraId="4D2F91F4" w14:textId="39215C7A" w:rsidR="0077489A" w:rsidRPr="00263C73" w:rsidRDefault="0077489A" w:rsidP="0077489A">
      <w:pPr>
        <w:pStyle w:val="Heading1"/>
        <w:spacing w:before="200"/>
        <w:rPr>
          <w:rFonts w:asciiTheme="majorHAnsi" w:hAnsiTheme="majorHAnsi"/>
        </w:rPr>
      </w:pPr>
      <w:r w:rsidRPr="00263C73">
        <w:rPr>
          <w:rFonts w:asciiTheme="majorHAnsi" w:hAnsiTheme="majorHAnsi"/>
        </w:rPr>
        <w:t>Appendix A: Sources</w:t>
      </w:r>
    </w:p>
    <w:p w14:paraId="34FF0E6A" w14:textId="77777777" w:rsidR="0077489A" w:rsidRPr="00581E09" w:rsidRDefault="0077489A" w:rsidP="00BC3329">
      <w:pPr>
        <w:pStyle w:val="ListParagraph"/>
        <w:tabs>
          <w:tab w:val="clear" w:pos="0"/>
        </w:tabs>
        <w:ind w:left="630"/>
        <w:rPr>
          <w:rFonts w:asciiTheme="majorHAnsi" w:hAnsiTheme="majorHAnsi"/>
          <w:szCs w:val="24"/>
        </w:rPr>
      </w:pPr>
      <w:r w:rsidRPr="00581E09">
        <w:rPr>
          <w:rFonts w:asciiTheme="majorHAnsi" w:hAnsiTheme="majorHAnsi"/>
          <w:szCs w:val="24"/>
        </w:rPr>
        <w:t xml:space="preserve">Labor Insight/Jobs (Burning Glass) </w:t>
      </w:r>
    </w:p>
    <w:p w14:paraId="37D8CB01" w14:textId="375093C8" w:rsidR="0077489A" w:rsidRDefault="0077489A" w:rsidP="00BC3329">
      <w:pPr>
        <w:pStyle w:val="ListParagraph"/>
        <w:tabs>
          <w:tab w:val="clear" w:pos="0"/>
        </w:tabs>
        <w:spacing w:after="0"/>
        <w:ind w:left="630"/>
        <w:rPr>
          <w:rFonts w:asciiTheme="majorHAnsi" w:hAnsiTheme="majorHAnsi"/>
          <w:szCs w:val="24"/>
        </w:rPr>
      </w:pPr>
      <w:r w:rsidRPr="00581E09">
        <w:rPr>
          <w:rFonts w:asciiTheme="majorHAnsi" w:hAnsiTheme="majorHAnsi"/>
          <w:szCs w:val="24"/>
        </w:rPr>
        <w:t>California Community Colleges Chancellor’s Office Management Information Systems (MIS)</w:t>
      </w:r>
    </w:p>
    <w:p w14:paraId="29423959" w14:textId="111EE290" w:rsidR="00BC3329" w:rsidRPr="00BC3329" w:rsidRDefault="00BC3329" w:rsidP="00BC3329">
      <w:pPr>
        <w:pStyle w:val="ListParagraph"/>
        <w:tabs>
          <w:tab w:val="clear" w:pos="0"/>
        </w:tabs>
        <w:spacing w:after="0"/>
        <w:ind w:left="630"/>
        <w:rPr>
          <w:rFonts w:asciiTheme="majorHAnsi" w:hAnsiTheme="majorHAnsi"/>
          <w:szCs w:val="24"/>
        </w:rPr>
      </w:pPr>
      <w:r w:rsidRPr="00BC3329">
        <w:rPr>
          <w:rFonts w:asciiTheme="majorHAnsi" w:hAnsiTheme="majorHAnsi"/>
          <w:szCs w:val="24"/>
        </w:rPr>
        <w:t>The </w:t>
      </w:r>
      <w:r w:rsidRPr="00BC3329">
        <w:rPr>
          <w:rFonts w:asciiTheme="majorHAnsi" w:hAnsiTheme="majorHAnsi"/>
          <w:bCs/>
          <w:szCs w:val="24"/>
        </w:rPr>
        <w:t>Integrated Postsecondary Education Data System</w:t>
      </w:r>
      <w:r w:rsidRPr="00BC3329">
        <w:rPr>
          <w:rFonts w:asciiTheme="majorHAnsi" w:hAnsiTheme="majorHAnsi"/>
          <w:szCs w:val="24"/>
        </w:rPr>
        <w:t> (</w:t>
      </w:r>
      <w:r w:rsidRPr="00BC3329">
        <w:rPr>
          <w:rFonts w:asciiTheme="majorHAnsi" w:hAnsiTheme="majorHAnsi"/>
          <w:bCs/>
          <w:szCs w:val="24"/>
        </w:rPr>
        <w:t>IPEDS</w:t>
      </w:r>
      <w:r w:rsidRPr="00BC3329">
        <w:rPr>
          <w:rFonts w:asciiTheme="majorHAnsi" w:hAnsiTheme="majorHAnsi"/>
          <w:szCs w:val="24"/>
        </w:rPr>
        <w:t>)</w:t>
      </w:r>
    </w:p>
    <w:p w14:paraId="661C3088" w14:textId="7089781F" w:rsidR="00AA2FDF" w:rsidRDefault="00AA2FDF" w:rsidP="005F6D2F"/>
    <w:p w14:paraId="64D21DD8" w14:textId="252047AD" w:rsidR="00EE7CF1" w:rsidRDefault="00EE7CF1" w:rsidP="005F6D2F"/>
    <w:p w14:paraId="626A83E6" w14:textId="1782FBBE" w:rsidR="00543948" w:rsidRDefault="00543948" w:rsidP="005F6D2F"/>
    <w:p w14:paraId="1700585B" w14:textId="7D0E30D7" w:rsidR="00543948" w:rsidRDefault="00543948" w:rsidP="005F6D2F"/>
    <w:p w14:paraId="2474A0AB" w14:textId="1752E8AD" w:rsidR="00543948" w:rsidRDefault="00543948" w:rsidP="005F6D2F"/>
    <w:p w14:paraId="62B4EF5D" w14:textId="77777777" w:rsidR="00543948" w:rsidRPr="0072689D" w:rsidRDefault="00543948" w:rsidP="005F6D2F"/>
    <w:p w14:paraId="013A7A21" w14:textId="19F3F5DE" w:rsidR="00A358EC" w:rsidRPr="00BC3329" w:rsidRDefault="00F97571" w:rsidP="005F6D2F">
      <w:pPr>
        <w:rPr>
          <w:rFonts w:ascii="Tw Cen MT" w:hAnsi="Tw Cen MT"/>
        </w:rPr>
      </w:pPr>
      <w:r w:rsidRPr="00BC3329">
        <w:rPr>
          <w:rFonts w:ascii="Tw Cen MT" w:hAnsi="Tw Cen MT"/>
          <w:noProof/>
        </w:rPr>
        <w:drawing>
          <wp:anchor distT="0" distB="0" distL="114300" distR="114300" simplePos="0" relativeHeight="251658240" behindDoc="0" locked="0" layoutInCell="1" allowOverlap="1" wp14:anchorId="7D487379" wp14:editId="23E29313">
            <wp:simplePos x="0" y="0"/>
            <wp:positionH relativeFrom="column">
              <wp:posOffset>4752975</wp:posOffset>
            </wp:positionH>
            <wp:positionV relativeFrom="paragraph">
              <wp:posOffset>102235</wp:posOffset>
            </wp:positionV>
            <wp:extent cx="1001395" cy="878205"/>
            <wp:effectExtent l="0" t="0" r="825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1395" cy="878205"/>
                    </a:xfrm>
                    <a:prstGeom prst="rect">
                      <a:avLst/>
                    </a:prstGeom>
                  </pic:spPr>
                </pic:pic>
              </a:graphicData>
            </a:graphic>
          </wp:anchor>
        </w:drawing>
      </w:r>
      <w:r w:rsidR="00385848" w:rsidRPr="00BC3329">
        <w:rPr>
          <w:rFonts w:ascii="Tw Cen MT" w:hAnsi="Tw Cen MT"/>
        </w:rPr>
        <w:t>For more information, please contact:</w:t>
      </w:r>
      <w:r w:rsidRPr="00BC3329">
        <w:rPr>
          <w:rFonts w:ascii="Tw Cen MT" w:hAnsi="Tw Cen MT"/>
          <w:noProof/>
        </w:rPr>
        <w:t xml:space="preserve"> </w:t>
      </w:r>
    </w:p>
    <w:p w14:paraId="7AFCC2C6" w14:textId="1786675F" w:rsidR="00F97571" w:rsidRPr="00BC3329" w:rsidRDefault="00F97571" w:rsidP="005F6D2F">
      <w:pPr>
        <w:rPr>
          <w:rFonts w:ascii="Tw Cen MT" w:hAnsi="Tw Cen MT"/>
        </w:rPr>
      </w:pPr>
    </w:p>
    <w:p w14:paraId="137AEED3" w14:textId="0B2661F4" w:rsidR="007F29D5" w:rsidRPr="00BC3329" w:rsidRDefault="007679CA" w:rsidP="008A0FC2">
      <w:pPr>
        <w:pStyle w:val="Header1"/>
        <w:tabs>
          <w:tab w:val="left" w:pos="4500"/>
        </w:tabs>
        <w:rPr>
          <w:sz w:val="24"/>
          <w:szCs w:val="24"/>
        </w:rPr>
      </w:pPr>
      <w:r w:rsidRPr="00BC3329">
        <w:rPr>
          <w:sz w:val="24"/>
          <w:szCs w:val="24"/>
        </w:rPr>
        <w:t xml:space="preserve">Luke Meyer, </w:t>
      </w:r>
      <w:r w:rsidR="007F29D5" w:rsidRPr="00BC3329">
        <w:rPr>
          <w:sz w:val="24"/>
          <w:szCs w:val="24"/>
        </w:rPr>
        <w:t>Director</w:t>
      </w:r>
    </w:p>
    <w:p w14:paraId="6E28C521" w14:textId="260F7947" w:rsidR="007F29D5" w:rsidRPr="00BC3329" w:rsidRDefault="007F29D5" w:rsidP="008A0FC2">
      <w:pPr>
        <w:pStyle w:val="Header1"/>
        <w:tabs>
          <w:tab w:val="left" w:pos="4500"/>
        </w:tabs>
        <w:rPr>
          <w:sz w:val="24"/>
          <w:szCs w:val="24"/>
        </w:rPr>
      </w:pPr>
      <w:r w:rsidRPr="00BC3329">
        <w:rPr>
          <w:sz w:val="24"/>
          <w:szCs w:val="24"/>
        </w:rPr>
        <w:t>Los Angeles Center of Excellence</w:t>
      </w:r>
    </w:p>
    <w:p w14:paraId="2D1F70D6" w14:textId="21A44414" w:rsidR="007F29D5" w:rsidRPr="00BC3329" w:rsidRDefault="002F378D" w:rsidP="008A0FC2">
      <w:pPr>
        <w:pStyle w:val="Header1"/>
        <w:tabs>
          <w:tab w:val="left" w:pos="4500"/>
        </w:tabs>
        <w:rPr>
          <w:sz w:val="24"/>
          <w:szCs w:val="24"/>
        </w:rPr>
      </w:pPr>
      <w:hyperlink r:id="rId20" w:history="1">
        <w:r w:rsidR="007679CA" w:rsidRPr="00BC3329">
          <w:rPr>
            <w:rStyle w:val="Hyperlink"/>
            <w:sz w:val="24"/>
            <w:szCs w:val="24"/>
          </w:rPr>
          <w:t>lmeyer7@mtsac.edu</w:t>
        </w:r>
      </w:hyperlink>
    </w:p>
    <w:p w14:paraId="610A468D" w14:textId="2DF1EA62" w:rsidR="00F97571" w:rsidRPr="00BC3329" w:rsidRDefault="00F97571" w:rsidP="008A0FC2">
      <w:pPr>
        <w:pStyle w:val="Header1"/>
        <w:tabs>
          <w:tab w:val="left" w:pos="4500"/>
        </w:tabs>
        <w:rPr>
          <w:sz w:val="24"/>
          <w:szCs w:val="24"/>
        </w:rPr>
      </w:pPr>
    </w:p>
    <w:p w14:paraId="58E9A07C" w14:textId="5F63E007" w:rsidR="001258A6" w:rsidRPr="00BC3329" w:rsidRDefault="00B611F2" w:rsidP="008A0FC2">
      <w:pPr>
        <w:pStyle w:val="Header1"/>
        <w:tabs>
          <w:tab w:val="left" w:pos="4500"/>
        </w:tabs>
        <w:rPr>
          <w:sz w:val="24"/>
          <w:szCs w:val="24"/>
        </w:rPr>
      </w:pPr>
      <w:r w:rsidRPr="00BC3329">
        <w:rPr>
          <w:sz w:val="24"/>
          <w:szCs w:val="24"/>
        </w:rPr>
        <w:t>September 2022</w:t>
      </w:r>
    </w:p>
    <w:sectPr w:rsidR="001258A6" w:rsidRPr="00BC3329" w:rsidSect="008B2AC1">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coleman" w:date="2022-09-28T13:00:00Z" w:initials="lc">
    <w:p w14:paraId="119A58CA" w14:textId="77777777" w:rsidR="00EA145D" w:rsidRDefault="00EA145D" w:rsidP="00DB384C">
      <w:pPr>
        <w:pStyle w:val="CommentText"/>
      </w:pPr>
      <w:r>
        <w:rPr>
          <w:rStyle w:val="CommentReference"/>
        </w:rPr>
        <w:annotationRef/>
      </w:r>
      <w:r>
        <w:t>I don't believe the project has designated a single TOP code for the award. But let's double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9A58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C3DE" w16cex:dateUtc="2022-09-28T20:00:00Z"/>
  <w16cex:commentExtensible w16cex:durableId="26DECA0F" w16cex:dateUtc="2022-09-28T20:26:00Z"/>
  <w16cex:commentExtensible w16cex:durableId="26DECA2A" w16cex:dateUtc="2022-09-28T20:27:00Z"/>
  <w16cex:commentExtensible w16cex:durableId="26DECA3D" w16cex:dateUtc="2022-09-28T20:27:00Z"/>
  <w16cex:commentExtensible w16cex:durableId="26DECCD3" w16cex:dateUtc="2022-09-28T20:38:00Z"/>
  <w16cex:commentExtensible w16cex:durableId="26DECDF8" w16cex:dateUtc="2022-09-28T20:43:00Z"/>
  <w16cex:commentExtensible w16cex:durableId="26DECE65" w16cex:dateUtc="2022-09-28T20:45:00Z"/>
  <w16cex:commentExtensible w16cex:durableId="26DECF59" w16cex:dateUtc="2022-09-28T20:49:00Z"/>
  <w16cex:commentExtensible w16cex:durableId="26DECF8D" w16cex:dateUtc="2022-09-28T20:50:00Z"/>
  <w16cex:commentExtensible w16cex:durableId="26DECF1F" w16cex:dateUtc="2022-09-28T20:48:00Z"/>
  <w16cex:commentExtensible w16cex:durableId="26DEDC8D" w16cex:dateUtc="2022-09-28T21:45:00Z"/>
  <w16cex:commentExtensible w16cex:durableId="26DED0EC" w16cex:dateUtc="2022-09-28T20:55:00Z"/>
  <w16cex:commentExtensible w16cex:durableId="26DED64D" w16cex:dateUtc="2022-09-28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A58CA" w16cid:durableId="26DEC3DE"/>
  <w16cid:commentId w16cid:paraId="0E4C5B17" w16cid:durableId="26DECA0F"/>
  <w16cid:commentId w16cid:paraId="6AFE7E30" w16cid:durableId="26DECA2A"/>
  <w16cid:commentId w16cid:paraId="4F8D7872" w16cid:durableId="26DECA3D"/>
  <w16cid:commentId w16cid:paraId="14C3DCE6" w16cid:durableId="26DECCD3"/>
  <w16cid:commentId w16cid:paraId="3AED8151" w16cid:durableId="26DECDF8"/>
  <w16cid:commentId w16cid:paraId="39CB21B4" w16cid:durableId="26DECE65"/>
  <w16cid:commentId w16cid:paraId="4A9D90EE" w16cid:durableId="26DECF59"/>
  <w16cid:commentId w16cid:paraId="66162A70" w16cid:durableId="26DECF8D"/>
  <w16cid:commentId w16cid:paraId="19C91D76" w16cid:durableId="26DECF1F"/>
  <w16cid:commentId w16cid:paraId="53F73D7F" w16cid:durableId="26DEDC8D"/>
  <w16cid:commentId w16cid:paraId="2C27C347" w16cid:durableId="26DED0EC"/>
  <w16cid:commentId w16cid:paraId="6FF04D51" w16cid:durableId="26DED6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2154" w14:textId="77777777" w:rsidR="002F378D" w:rsidRDefault="002F378D" w:rsidP="005F6D2F">
      <w:r>
        <w:separator/>
      </w:r>
    </w:p>
    <w:p w14:paraId="622E335C" w14:textId="77777777" w:rsidR="002F378D" w:rsidRDefault="002F378D" w:rsidP="005F6D2F"/>
    <w:p w14:paraId="217531D5" w14:textId="77777777" w:rsidR="002F378D" w:rsidRDefault="002F378D" w:rsidP="005F6D2F"/>
  </w:endnote>
  <w:endnote w:type="continuationSeparator" w:id="0">
    <w:p w14:paraId="773D71BB" w14:textId="77777777" w:rsidR="002F378D" w:rsidRDefault="002F378D" w:rsidP="005F6D2F">
      <w:r>
        <w:continuationSeparator/>
      </w:r>
    </w:p>
    <w:p w14:paraId="0B4107D3" w14:textId="77777777" w:rsidR="002F378D" w:rsidRDefault="002F378D" w:rsidP="005F6D2F"/>
    <w:p w14:paraId="58D5EAEA" w14:textId="77777777" w:rsidR="002F378D" w:rsidRDefault="002F378D" w:rsidP="005F6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D066" w14:textId="77777777" w:rsidR="00EA145D" w:rsidRDefault="00EA145D" w:rsidP="005F6D2F">
    <w:pPr>
      <w:pStyle w:val="Footer"/>
    </w:pPr>
  </w:p>
  <w:p w14:paraId="4D57B0B9" w14:textId="77777777" w:rsidR="00EA145D" w:rsidRDefault="00EA145D" w:rsidP="005F6D2F"/>
  <w:p w14:paraId="303F84A0" w14:textId="77777777" w:rsidR="00EA145D" w:rsidRDefault="00EA145D" w:rsidP="005F6D2F"/>
  <w:p w14:paraId="2BB9EAA6" w14:textId="77777777" w:rsidR="00EA145D" w:rsidRDefault="00EA145D" w:rsidP="005F6D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961F" w14:textId="416C3534" w:rsidR="00EA145D" w:rsidRPr="005F6D2F" w:rsidRDefault="00EA145D" w:rsidP="005F6D2F">
    <w:pPr>
      <w:rPr>
        <w:color w:val="0C1B19" w:themeColor="text2" w:themeShade="80"/>
      </w:rPr>
    </w:pPr>
    <w:r w:rsidRPr="00015951">
      <w:rPr>
        <w:color w:val="90A115" w:themeColor="background2" w:themeShade="80"/>
        <w:spacing w:val="60"/>
      </w:rPr>
      <w:t>Page</w:t>
    </w:r>
    <w:r>
      <w:rPr>
        <w:color w:val="4EAE9E" w:themeColor="text2" w:themeTint="99"/>
      </w:rPr>
      <w:t xml:space="preserve"> </w:t>
    </w:r>
    <w:r>
      <w:fldChar w:fldCharType="begin"/>
    </w:r>
    <w:r>
      <w:instrText xml:space="preserve"> PAGE   \* MERGEFORMAT </w:instrText>
    </w:r>
    <w:r>
      <w:fldChar w:fldCharType="separate"/>
    </w:r>
    <w:r w:rsidR="00AA405F">
      <w:rPr>
        <w:noProof/>
      </w:rPr>
      <w:t>9</w:t>
    </w:r>
    <w:r>
      <w:fldChar w:fldCharType="end"/>
    </w:r>
    <w:r>
      <w:t xml:space="preserve"> | </w:t>
    </w:r>
    <w:r w:rsidR="002F378D">
      <w:fldChar w:fldCharType="begin"/>
    </w:r>
    <w:r w:rsidR="002F378D">
      <w:instrText xml:space="preserve"> NUMPAGES  \* Arabic  \* MERGEFORMAT </w:instrText>
    </w:r>
    <w:r w:rsidR="002F378D">
      <w:fldChar w:fldCharType="separate"/>
    </w:r>
    <w:r w:rsidR="00AA405F">
      <w:rPr>
        <w:noProof/>
      </w:rPr>
      <w:t>9</w:t>
    </w:r>
    <w:r w:rsidR="002F378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C748" w14:textId="4CC839B9" w:rsidR="00EA145D" w:rsidRPr="005F6D2F" w:rsidRDefault="00EA145D" w:rsidP="005F6D2F">
    <w:pPr>
      <w:rPr>
        <w:color w:val="0C1B19" w:themeColor="text2" w:themeShade="80"/>
      </w:rPr>
    </w:pPr>
    <w:r w:rsidRPr="00015951">
      <w:rPr>
        <w:color w:val="90A115" w:themeColor="background2" w:themeShade="80"/>
        <w:spacing w:val="60"/>
      </w:rPr>
      <w:t>Page</w:t>
    </w:r>
    <w:r>
      <w:rPr>
        <w:color w:val="4EAE9E" w:themeColor="text2" w:themeTint="99"/>
      </w:rPr>
      <w:t xml:space="preserve"> </w:t>
    </w:r>
    <w:r>
      <w:fldChar w:fldCharType="begin"/>
    </w:r>
    <w:r>
      <w:instrText xml:space="preserve"> PAGE   \* MERGEFORMAT </w:instrText>
    </w:r>
    <w:r>
      <w:fldChar w:fldCharType="separate"/>
    </w:r>
    <w:r w:rsidR="002F378D">
      <w:rPr>
        <w:noProof/>
      </w:rPr>
      <w:t>1</w:t>
    </w:r>
    <w:r>
      <w:fldChar w:fldCharType="end"/>
    </w:r>
    <w:r>
      <w:t xml:space="preserve"> | </w:t>
    </w:r>
    <w:r w:rsidR="002F378D">
      <w:fldChar w:fldCharType="begin"/>
    </w:r>
    <w:r w:rsidR="002F378D">
      <w:instrText xml:space="preserve"> NUMPAGES  \* Arabic  \* MERGEFORMAT </w:instrText>
    </w:r>
    <w:r w:rsidR="002F378D">
      <w:fldChar w:fldCharType="separate"/>
    </w:r>
    <w:r w:rsidR="002F378D">
      <w:rPr>
        <w:noProof/>
      </w:rPr>
      <w:t>1</w:t>
    </w:r>
    <w:r w:rsidR="002F37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FF0EA" w14:textId="77777777" w:rsidR="002F378D" w:rsidRPr="00FE1846" w:rsidRDefault="002F378D" w:rsidP="00FE1846">
      <w:pPr>
        <w:pStyle w:val="Footer"/>
      </w:pPr>
      <w:r>
        <w:separator/>
      </w:r>
    </w:p>
  </w:footnote>
  <w:footnote w:type="continuationSeparator" w:id="0">
    <w:p w14:paraId="248C0DF0" w14:textId="77777777" w:rsidR="002F378D" w:rsidRDefault="002F378D" w:rsidP="005F6D2F">
      <w:r>
        <w:continuationSeparator/>
      </w:r>
    </w:p>
  </w:footnote>
  <w:footnote w:id="1">
    <w:p w14:paraId="7C79D13B" w14:textId="032CF5E1" w:rsidR="00EA145D" w:rsidRDefault="00EA145D">
      <w:pPr>
        <w:pStyle w:val="FootnoteText"/>
      </w:pPr>
      <w:r>
        <w:rPr>
          <w:rStyle w:val="FootnoteReference"/>
        </w:rPr>
        <w:footnoteRef/>
      </w:r>
      <w:r>
        <w:t xml:space="preserve"> ONC is housed within the US </w:t>
      </w:r>
      <w:r w:rsidRPr="00A87DEA">
        <w:t>Office of the Secretary for the U.S. Department of Health and Human Services (HHS)</w:t>
      </w:r>
      <w:r>
        <w:t xml:space="preserve">. </w:t>
      </w:r>
      <w:r w:rsidRPr="00A87DEA">
        <w:t>ONC is the principal federal entity charged with coordination of nationwide efforts to implement and use the most advanced health information technology and the electronic exchange of health information.</w:t>
      </w:r>
      <w:r>
        <w:t xml:space="preserve"> More information about ONC can be found at </w:t>
      </w:r>
      <w:hyperlink r:id="rId1" w:history="1">
        <w:r w:rsidR="004A5B15" w:rsidRPr="00872640">
          <w:rPr>
            <w:rStyle w:val="Hyperlink"/>
          </w:rPr>
          <w:t>www.healthit.gov</w:t>
        </w:r>
      </w:hyperlink>
      <w:r>
        <w:t>.</w:t>
      </w:r>
    </w:p>
  </w:footnote>
  <w:footnote w:id="2">
    <w:p w14:paraId="3BFB360F" w14:textId="052D8F19" w:rsidR="00EA145D" w:rsidRDefault="00EA145D">
      <w:pPr>
        <w:pStyle w:val="FootnoteText"/>
      </w:pPr>
      <w:r>
        <w:rPr>
          <w:rStyle w:val="FootnoteReference"/>
        </w:rPr>
        <w:footnoteRef/>
      </w:r>
      <w:r>
        <w:t xml:space="preserve"> </w:t>
      </w:r>
      <w:hyperlink r:id="rId2" w:history="1">
        <w:r w:rsidRPr="00F863B0">
          <w:rPr>
            <w:rStyle w:val="Hyperlink"/>
          </w:rPr>
          <w:t>Public Health Informatics &amp; Technology (PHIT) Workforce Development Program</w:t>
        </w:r>
      </w:hyperlink>
      <w:r>
        <w:t xml:space="preserve"> </w:t>
      </w:r>
    </w:p>
  </w:footnote>
  <w:footnote w:id="3">
    <w:p w14:paraId="4AE89CB3" w14:textId="1FBA7B97" w:rsidR="00EA145D" w:rsidRDefault="00EA145D">
      <w:pPr>
        <w:pStyle w:val="FootnoteText"/>
      </w:pPr>
      <w:r>
        <w:rPr>
          <w:rStyle w:val="FootnoteReference"/>
        </w:rPr>
        <w:footnoteRef/>
      </w:r>
      <w:r>
        <w:t xml:space="preserve">September 1, 2021 through August 31, 2022. </w:t>
      </w:r>
      <w:r w:rsidRPr="00E94014">
        <w:t xml:space="preserve">Source: Burning Glass Technologies. “Labor Insight™ Real-Time Labor Market Information Tool.” </w:t>
      </w:r>
      <w:hyperlink r:id="rId3" w:history="1">
        <w:r w:rsidRPr="00E850D0">
          <w:rPr>
            <w:rStyle w:val="Hyperlink"/>
          </w:rPr>
          <w:t>http://www.burning-glass.com</w:t>
        </w:r>
      </w:hyperlink>
      <w:r>
        <w:t>. 2022</w:t>
      </w:r>
      <w:r w:rsidRPr="00E94014">
        <w:t>.</w:t>
      </w:r>
    </w:p>
  </w:footnote>
  <w:footnote w:id="4">
    <w:p w14:paraId="127B50A3" w14:textId="3584C352" w:rsidR="00EA145D" w:rsidRDefault="00EA145D">
      <w:pPr>
        <w:pStyle w:val="FootnoteText"/>
      </w:pPr>
      <w:r>
        <w:rPr>
          <w:rStyle w:val="FootnoteReference"/>
        </w:rPr>
        <w:footnoteRef/>
      </w:r>
      <w:r>
        <w:t>J</w:t>
      </w:r>
      <w:r w:rsidRPr="005571CC">
        <w:t xml:space="preserve">ob postings seeking candidates with a master’s or </w:t>
      </w:r>
      <w:r>
        <w:t>above</w:t>
      </w:r>
      <w:r w:rsidRPr="005571CC">
        <w:t xml:space="preserve"> were excluded from this 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F88B" w14:textId="26FCE85E" w:rsidR="00EA145D" w:rsidRDefault="00EA145D" w:rsidP="005F6D2F">
    <w:pPr>
      <w:pStyle w:val="Header"/>
    </w:pPr>
    <w:r>
      <w:rPr>
        <w:noProof/>
      </w:rPr>
      <w:drawing>
        <wp:anchor distT="0" distB="0" distL="114300" distR="114300" simplePos="0" relativeHeight="251658240" behindDoc="1" locked="0" layoutInCell="1" allowOverlap="1" wp14:anchorId="09B59603" wp14:editId="228E57DE">
          <wp:simplePos x="0" y="0"/>
          <wp:positionH relativeFrom="margin">
            <wp:posOffset>28575</wp:posOffset>
          </wp:positionH>
          <wp:positionV relativeFrom="paragraph">
            <wp:posOffset>-113030</wp:posOffset>
          </wp:positionV>
          <wp:extent cx="2533650" cy="482537"/>
          <wp:effectExtent l="0" t="0" r="0" b="0"/>
          <wp:wrapTight wrapText="bothSides">
            <wp:wrapPolygon edited="0">
              <wp:start x="1786" y="0"/>
              <wp:lineTo x="0" y="5976"/>
              <wp:lineTo x="0" y="11099"/>
              <wp:lineTo x="812" y="20490"/>
              <wp:lineTo x="974" y="20490"/>
              <wp:lineTo x="2274" y="20490"/>
              <wp:lineTo x="21438" y="16221"/>
              <wp:lineTo x="21438" y="6830"/>
              <wp:lineTo x="2923" y="0"/>
              <wp:lineTo x="1786"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650" cy="482537"/>
                  </a:xfrm>
                  <a:prstGeom prst="rect">
                    <a:avLst/>
                  </a:prstGeom>
                </pic:spPr>
              </pic:pic>
            </a:graphicData>
          </a:graphic>
          <wp14:sizeRelV relativeFrom="margin">
            <wp14:pctHeight>0</wp14:pctHeight>
          </wp14:sizeRelV>
        </wp:anchor>
      </w:drawing>
    </w:r>
  </w:p>
  <w:p w14:paraId="1461FD56" w14:textId="77777777" w:rsidR="00EA145D" w:rsidRDefault="00EA145D" w:rsidP="005F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872E835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238"/>
    <w:multiLevelType w:val="hybridMultilevel"/>
    <w:tmpl w:val="900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2907"/>
    <w:multiLevelType w:val="hybridMultilevel"/>
    <w:tmpl w:val="396AE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5732A4"/>
    <w:multiLevelType w:val="hybridMultilevel"/>
    <w:tmpl w:val="E41E16B2"/>
    <w:lvl w:ilvl="0" w:tplc="F856B4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11D7C"/>
    <w:multiLevelType w:val="hybridMultilevel"/>
    <w:tmpl w:val="8B7465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F75660"/>
    <w:multiLevelType w:val="hybridMultilevel"/>
    <w:tmpl w:val="E80A4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74CB6"/>
    <w:multiLevelType w:val="hybridMultilevel"/>
    <w:tmpl w:val="3B0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355DF"/>
    <w:multiLevelType w:val="hybridMultilevel"/>
    <w:tmpl w:val="1B5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C1630"/>
    <w:multiLevelType w:val="hybridMultilevel"/>
    <w:tmpl w:val="14D4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E3634"/>
    <w:multiLevelType w:val="hybridMultilevel"/>
    <w:tmpl w:val="336A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2DFF"/>
    <w:multiLevelType w:val="hybridMultilevel"/>
    <w:tmpl w:val="943A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D4CF9"/>
    <w:multiLevelType w:val="hybridMultilevel"/>
    <w:tmpl w:val="D3F60AC8"/>
    <w:lvl w:ilvl="0" w:tplc="0A84C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C50D8"/>
    <w:multiLevelType w:val="hybridMultilevel"/>
    <w:tmpl w:val="7D50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9660E"/>
    <w:multiLevelType w:val="hybridMultilevel"/>
    <w:tmpl w:val="C29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35290"/>
    <w:multiLevelType w:val="hybridMultilevel"/>
    <w:tmpl w:val="34FC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B3515"/>
    <w:multiLevelType w:val="hybridMultilevel"/>
    <w:tmpl w:val="36F4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CA3FF6"/>
    <w:multiLevelType w:val="hybridMultilevel"/>
    <w:tmpl w:val="F5C8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A2BA9"/>
    <w:multiLevelType w:val="hybridMultilevel"/>
    <w:tmpl w:val="49E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747E9"/>
    <w:multiLevelType w:val="hybridMultilevel"/>
    <w:tmpl w:val="4CF2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74601"/>
    <w:multiLevelType w:val="hybridMultilevel"/>
    <w:tmpl w:val="ADB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12229"/>
    <w:multiLevelType w:val="hybridMultilevel"/>
    <w:tmpl w:val="93A47D4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F870D2F"/>
    <w:multiLevelType w:val="hybridMultilevel"/>
    <w:tmpl w:val="F1CA622E"/>
    <w:lvl w:ilvl="0" w:tplc="9224F094">
      <w:start w:val="10"/>
      <w:numFmt w:val="bullet"/>
      <w:lvlText w:val=""/>
      <w:lvlJc w:val="left"/>
      <w:pPr>
        <w:ind w:left="54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76600"/>
    <w:multiLevelType w:val="hybridMultilevel"/>
    <w:tmpl w:val="6F9AD6E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3" w15:restartNumberingAfterBreak="0">
    <w:nsid w:val="745C2BBD"/>
    <w:multiLevelType w:val="hybridMultilevel"/>
    <w:tmpl w:val="CF62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2CF2"/>
    <w:multiLevelType w:val="hybridMultilevel"/>
    <w:tmpl w:val="BB960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8E2678"/>
    <w:multiLevelType w:val="hybridMultilevel"/>
    <w:tmpl w:val="14F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E791C"/>
    <w:multiLevelType w:val="hybridMultilevel"/>
    <w:tmpl w:val="CF2A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24624"/>
    <w:multiLevelType w:val="hybridMultilevel"/>
    <w:tmpl w:val="1B6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5"/>
  </w:num>
  <w:num w:numId="4">
    <w:abstractNumId w:val="2"/>
  </w:num>
  <w:num w:numId="5">
    <w:abstractNumId w:val="17"/>
  </w:num>
  <w:num w:numId="6">
    <w:abstractNumId w:val="28"/>
  </w:num>
  <w:num w:numId="7">
    <w:abstractNumId w:val="0"/>
  </w:num>
  <w:num w:numId="8">
    <w:abstractNumId w:val="23"/>
  </w:num>
  <w:num w:numId="9">
    <w:abstractNumId w:val="27"/>
  </w:num>
  <w:num w:numId="10">
    <w:abstractNumId w:val="12"/>
  </w:num>
  <w:num w:numId="11">
    <w:abstractNumId w:val="5"/>
  </w:num>
  <w:num w:numId="12">
    <w:abstractNumId w:val="21"/>
  </w:num>
  <w:num w:numId="13">
    <w:abstractNumId w:val="11"/>
  </w:num>
  <w:num w:numId="14">
    <w:abstractNumId w:val="13"/>
  </w:num>
  <w:num w:numId="15">
    <w:abstractNumId w:val="16"/>
  </w:num>
  <w:num w:numId="16">
    <w:abstractNumId w:val="7"/>
  </w:num>
  <w:num w:numId="17">
    <w:abstractNumId w:val="19"/>
  </w:num>
  <w:num w:numId="18">
    <w:abstractNumId w:val="1"/>
  </w:num>
  <w:num w:numId="19">
    <w:abstractNumId w:val="10"/>
  </w:num>
  <w:num w:numId="20">
    <w:abstractNumId w:val="22"/>
  </w:num>
  <w:num w:numId="21">
    <w:abstractNumId w:val="9"/>
  </w:num>
  <w:num w:numId="22">
    <w:abstractNumId w:val="8"/>
  </w:num>
  <w:num w:numId="23">
    <w:abstractNumId w:val="15"/>
  </w:num>
  <w:num w:numId="24">
    <w:abstractNumId w:val="3"/>
  </w:num>
  <w:num w:numId="25">
    <w:abstractNumId w:val="6"/>
  </w:num>
  <w:num w:numId="26">
    <w:abstractNumId w:val="20"/>
  </w:num>
  <w:num w:numId="27">
    <w:abstractNumId w:val="24"/>
  </w:num>
  <w:num w:numId="28">
    <w:abstractNumId w:val="14"/>
  </w:num>
  <w:num w:numId="29">
    <w:abstractNumId w:val="4"/>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coleman">
    <w15:presenceInfo w15:providerId="Windows Live" w15:userId="bb1f4371bf1603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zCzNLM0NDAyMTdR0lEKTi0uzszPAykwNKwFAHRb60wtAAAA"/>
  </w:docVars>
  <w:rsids>
    <w:rsidRoot w:val="00334B3A"/>
    <w:rsid w:val="00003644"/>
    <w:rsid w:val="000041C0"/>
    <w:rsid w:val="00007C12"/>
    <w:rsid w:val="0001191C"/>
    <w:rsid w:val="000127DF"/>
    <w:rsid w:val="00012E06"/>
    <w:rsid w:val="00015951"/>
    <w:rsid w:val="00015B66"/>
    <w:rsid w:val="00015D9A"/>
    <w:rsid w:val="00016611"/>
    <w:rsid w:val="00016E75"/>
    <w:rsid w:val="000210D7"/>
    <w:rsid w:val="00022267"/>
    <w:rsid w:val="0002402A"/>
    <w:rsid w:val="00025A68"/>
    <w:rsid w:val="00026459"/>
    <w:rsid w:val="0002658C"/>
    <w:rsid w:val="00031208"/>
    <w:rsid w:val="00032E1F"/>
    <w:rsid w:val="000330AA"/>
    <w:rsid w:val="0003453E"/>
    <w:rsid w:val="00034645"/>
    <w:rsid w:val="00040EA1"/>
    <w:rsid w:val="000410D2"/>
    <w:rsid w:val="00041497"/>
    <w:rsid w:val="00041699"/>
    <w:rsid w:val="0004355C"/>
    <w:rsid w:val="0004441C"/>
    <w:rsid w:val="000444C7"/>
    <w:rsid w:val="00044CCB"/>
    <w:rsid w:val="000502D8"/>
    <w:rsid w:val="00052614"/>
    <w:rsid w:val="000527FE"/>
    <w:rsid w:val="00054863"/>
    <w:rsid w:val="00054A07"/>
    <w:rsid w:val="00054FD4"/>
    <w:rsid w:val="00054FF4"/>
    <w:rsid w:val="00055F4A"/>
    <w:rsid w:val="00056F31"/>
    <w:rsid w:val="000601F1"/>
    <w:rsid w:val="00061A52"/>
    <w:rsid w:val="00061CEE"/>
    <w:rsid w:val="0006237D"/>
    <w:rsid w:val="00063F49"/>
    <w:rsid w:val="00064212"/>
    <w:rsid w:val="000647CF"/>
    <w:rsid w:val="00064B6E"/>
    <w:rsid w:val="00065F3D"/>
    <w:rsid w:val="00066053"/>
    <w:rsid w:val="00066341"/>
    <w:rsid w:val="0006648C"/>
    <w:rsid w:val="000667EE"/>
    <w:rsid w:val="00067671"/>
    <w:rsid w:val="000710A5"/>
    <w:rsid w:val="00073068"/>
    <w:rsid w:val="00073F42"/>
    <w:rsid w:val="000746C5"/>
    <w:rsid w:val="000756CF"/>
    <w:rsid w:val="00075AE2"/>
    <w:rsid w:val="0007668C"/>
    <w:rsid w:val="00076D33"/>
    <w:rsid w:val="00080944"/>
    <w:rsid w:val="0008099F"/>
    <w:rsid w:val="00080B66"/>
    <w:rsid w:val="00081A00"/>
    <w:rsid w:val="00081E91"/>
    <w:rsid w:val="00082153"/>
    <w:rsid w:val="00082B9D"/>
    <w:rsid w:val="000842EE"/>
    <w:rsid w:val="00084ABC"/>
    <w:rsid w:val="00086A58"/>
    <w:rsid w:val="00086D76"/>
    <w:rsid w:val="00091E4E"/>
    <w:rsid w:val="000953D0"/>
    <w:rsid w:val="000A05EF"/>
    <w:rsid w:val="000A203C"/>
    <w:rsid w:val="000A2181"/>
    <w:rsid w:val="000A305D"/>
    <w:rsid w:val="000A41A1"/>
    <w:rsid w:val="000A67F8"/>
    <w:rsid w:val="000A7161"/>
    <w:rsid w:val="000A723B"/>
    <w:rsid w:val="000A774C"/>
    <w:rsid w:val="000B2E60"/>
    <w:rsid w:val="000B3072"/>
    <w:rsid w:val="000B3343"/>
    <w:rsid w:val="000B616F"/>
    <w:rsid w:val="000B633C"/>
    <w:rsid w:val="000B686C"/>
    <w:rsid w:val="000B6E0B"/>
    <w:rsid w:val="000B7920"/>
    <w:rsid w:val="000C0756"/>
    <w:rsid w:val="000C1690"/>
    <w:rsid w:val="000C2BEB"/>
    <w:rsid w:val="000C4EEB"/>
    <w:rsid w:val="000C5E06"/>
    <w:rsid w:val="000C6199"/>
    <w:rsid w:val="000C7A04"/>
    <w:rsid w:val="000D0106"/>
    <w:rsid w:val="000D09AE"/>
    <w:rsid w:val="000D0D0E"/>
    <w:rsid w:val="000D2207"/>
    <w:rsid w:val="000D2F65"/>
    <w:rsid w:val="000D453C"/>
    <w:rsid w:val="000D58E0"/>
    <w:rsid w:val="000D7AAF"/>
    <w:rsid w:val="000E04A8"/>
    <w:rsid w:val="000E4D85"/>
    <w:rsid w:val="000E5058"/>
    <w:rsid w:val="000E5840"/>
    <w:rsid w:val="000E622D"/>
    <w:rsid w:val="000F18CF"/>
    <w:rsid w:val="000F4A09"/>
    <w:rsid w:val="000F5301"/>
    <w:rsid w:val="000F58E5"/>
    <w:rsid w:val="000F5DDC"/>
    <w:rsid w:val="000F5FF2"/>
    <w:rsid w:val="001004B2"/>
    <w:rsid w:val="0010196D"/>
    <w:rsid w:val="00103729"/>
    <w:rsid w:val="00104136"/>
    <w:rsid w:val="00104D7E"/>
    <w:rsid w:val="00104ED3"/>
    <w:rsid w:val="001074DC"/>
    <w:rsid w:val="0011033D"/>
    <w:rsid w:val="001112AE"/>
    <w:rsid w:val="0011153C"/>
    <w:rsid w:val="00112D22"/>
    <w:rsid w:val="00115E83"/>
    <w:rsid w:val="00116287"/>
    <w:rsid w:val="00121335"/>
    <w:rsid w:val="00121B16"/>
    <w:rsid w:val="00121EB5"/>
    <w:rsid w:val="001227E7"/>
    <w:rsid w:val="0012345F"/>
    <w:rsid w:val="00123E35"/>
    <w:rsid w:val="001258A6"/>
    <w:rsid w:val="00126113"/>
    <w:rsid w:val="00126D0B"/>
    <w:rsid w:val="00127D77"/>
    <w:rsid w:val="00127F73"/>
    <w:rsid w:val="001325CC"/>
    <w:rsid w:val="001342CC"/>
    <w:rsid w:val="00136C83"/>
    <w:rsid w:val="00137E1B"/>
    <w:rsid w:val="00137FBA"/>
    <w:rsid w:val="0014103F"/>
    <w:rsid w:val="001421FB"/>
    <w:rsid w:val="00142DE2"/>
    <w:rsid w:val="00143E6B"/>
    <w:rsid w:val="0014531F"/>
    <w:rsid w:val="001453B8"/>
    <w:rsid w:val="0014656E"/>
    <w:rsid w:val="00147C73"/>
    <w:rsid w:val="001511E2"/>
    <w:rsid w:val="00151892"/>
    <w:rsid w:val="001562F9"/>
    <w:rsid w:val="00156651"/>
    <w:rsid w:val="00165FFE"/>
    <w:rsid w:val="00166E0C"/>
    <w:rsid w:val="00167F32"/>
    <w:rsid w:val="0017084B"/>
    <w:rsid w:val="001734C0"/>
    <w:rsid w:val="00173FF0"/>
    <w:rsid w:val="00176275"/>
    <w:rsid w:val="00176493"/>
    <w:rsid w:val="001767EF"/>
    <w:rsid w:val="001823FC"/>
    <w:rsid w:val="00183536"/>
    <w:rsid w:val="00183DE1"/>
    <w:rsid w:val="00187D3D"/>
    <w:rsid w:val="00192616"/>
    <w:rsid w:val="00193A77"/>
    <w:rsid w:val="00193BC4"/>
    <w:rsid w:val="00194C87"/>
    <w:rsid w:val="00196029"/>
    <w:rsid w:val="001A0AA0"/>
    <w:rsid w:val="001A1539"/>
    <w:rsid w:val="001A386C"/>
    <w:rsid w:val="001A42CD"/>
    <w:rsid w:val="001A50C1"/>
    <w:rsid w:val="001A5213"/>
    <w:rsid w:val="001A6B1A"/>
    <w:rsid w:val="001A6DF3"/>
    <w:rsid w:val="001B0F56"/>
    <w:rsid w:val="001C01FA"/>
    <w:rsid w:val="001C3A1B"/>
    <w:rsid w:val="001C3C95"/>
    <w:rsid w:val="001C4998"/>
    <w:rsid w:val="001C4A56"/>
    <w:rsid w:val="001C5B62"/>
    <w:rsid w:val="001C6A7D"/>
    <w:rsid w:val="001C6C8A"/>
    <w:rsid w:val="001C6F0F"/>
    <w:rsid w:val="001D3094"/>
    <w:rsid w:val="001D3416"/>
    <w:rsid w:val="001D3430"/>
    <w:rsid w:val="001D3C01"/>
    <w:rsid w:val="001D6F45"/>
    <w:rsid w:val="001E1230"/>
    <w:rsid w:val="001E2488"/>
    <w:rsid w:val="001E29A7"/>
    <w:rsid w:val="001E4E32"/>
    <w:rsid w:val="001E535D"/>
    <w:rsid w:val="001E731F"/>
    <w:rsid w:val="001E7473"/>
    <w:rsid w:val="001F0FFF"/>
    <w:rsid w:val="001F12A8"/>
    <w:rsid w:val="001F39E8"/>
    <w:rsid w:val="001F5F10"/>
    <w:rsid w:val="001F688B"/>
    <w:rsid w:val="001F7B3F"/>
    <w:rsid w:val="00204775"/>
    <w:rsid w:val="00204F13"/>
    <w:rsid w:val="00206FF4"/>
    <w:rsid w:val="002113BF"/>
    <w:rsid w:val="00212919"/>
    <w:rsid w:val="00214E27"/>
    <w:rsid w:val="002155A4"/>
    <w:rsid w:val="00220605"/>
    <w:rsid w:val="00222C94"/>
    <w:rsid w:val="002232CA"/>
    <w:rsid w:val="00223C8A"/>
    <w:rsid w:val="00224660"/>
    <w:rsid w:val="00224F79"/>
    <w:rsid w:val="00226760"/>
    <w:rsid w:val="002278B3"/>
    <w:rsid w:val="00232F92"/>
    <w:rsid w:val="00233578"/>
    <w:rsid w:val="002344D1"/>
    <w:rsid w:val="00234F0C"/>
    <w:rsid w:val="002362AE"/>
    <w:rsid w:val="0023694D"/>
    <w:rsid w:val="00237378"/>
    <w:rsid w:val="0024018A"/>
    <w:rsid w:val="002422D5"/>
    <w:rsid w:val="002423E0"/>
    <w:rsid w:val="00242618"/>
    <w:rsid w:val="00243744"/>
    <w:rsid w:val="00245800"/>
    <w:rsid w:val="00245C0B"/>
    <w:rsid w:val="002462E7"/>
    <w:rsid w:val="0025180B"/>
    <w:rsid w:val="0025686D"/>
    <w:rsid w:val="00260512"/>
    <w:rsid w:val="00266195"/>
    <w:rsid w:val="00266319"/>
    <w:rsid w:val="002670F8"/>
    <w:rsid w:val="00267214"/>
    <w:rsid w:val="00271FA8"/>
    <w:rsid w:val="00274B9C"/>
    <w:rsid w:val="00275695"/>
    <w:rsid w:val="0027586D"/>
    <w:rsid w:val="002764BA"/>
    <w:rsid w:val="00276504"/>
    <w:rsid w:val="00276A3E"/>
    <w:rsid w:val="00276F6F"/>
    <w:rsid w:val="00277496"/>
    <w:rsid w:val="002774F4"/>
    <w:rsid w:val="00277969"/>
    <w:rsid w:val="00280E51"/>
    <w:rsid w:val="00280FED"/>
    <w:rsid w:val="00281C60"/>
    <w:rsid w:val="00283076"/>
    <w:rsid w:val="0028578B"/>
    <w:rsid w:val="00285D57"/>
    <w:rsid w:val="00286C6C"/>
    <w:rsid w:val="00287C7D"/>
    <w:rsid w:val="00290568"/>
    <w:rsid w:val="002918B9"/>
    <w:rsid w:val="002930B4"/>
    <w:rsid w:val="00294B28"/>
    <w:rsid w:val="00296D92"/>
    <w:rsid w:val="002A0C5C"/>
    <w:rsid w:val="002A0FFF"/>
    <w:rsid w:val="002A28A8"/>
    <w:rsid w:val="002A358B"/>
    <w:rsid w:val="002A3F95"/>
    <w:rsid w:val="002A4388"/>
    <w:rsid w:val="002A5283"/>
    <w:rsid w:val="002A66C8"/>
    <w:rsid w:val="002A6F97"/>
    <w:rsid w:val="002B219B"/>
    <w:rsid w:val="002B2B4D"/>
    <w:rsid w:val="002B34FE"/>
    <w:rsid w:val="002B3B07"/>
    <w:rsid w:val="002B48FA"/>
    <w:rsid w:val="002B4929"/>
    <w:rsid w:val="002B594C"/>
    <w:rsid w:val="002B600F"/>
    <w:rsid w:val="002B75F9"/>
    <w:rsid w:val="002C2167"/>
    <w:rsid w:val="002C2527"/>
    <w:rsid w:val="002C527B"/>
    <w:rsid w:val="002C7DD5"/>
    <w:rsid w:val="002D0026"/>
    <w:rsid w:val="002D2874"/>
    <w:rsid w:val="002D493C"/>
    <w:rsid w:val="002E0070"/>
    <w:rsid w:val="002E07CD"/>
    <w:rsid w:val="002E0ADF"/>
    <w:rsid w:val="002E1A1F"/>
    <w:rsid w:val="002E26DA"/>
    <w:rsid w:val="002E288A"/>
    <w:rsid w:val="002E4DD3"/>
    <w:rsid w:val="002E5EFB"/>
    <w:rsid w:val="002F05C9"/>
    <w:rsid w:val="002F06C0"/>
    <w:rsid w:val="002F07D0"/>
    <w:rsid w:val="002F1276"/>
    <w:rsid w:val="002F23B2"/>
    <w:rsid w:val="002F378D"/>
    <w:rsid w:val="002F3D0C"/>
    <w:rsid w:val="002F4718"/>
    <w:rsid w:val="003008F6"/>
    <w:rsid w:val="003016CA"/>
    <w:rsid w:val="00301B80"/>
    <w:rsid w:val="0030253D"/>
    <w:rsid w:val="003027D0"/>
    <w:rsid w:val="00303ECC"/>
    <w:rsid w:val="003043E9"/>
    <w:rsid w:val="00304B72"/>
    <w:rsid w:val="00304C4B"/>
    <w:rsid w:val="0030612F"/>
    <w:rsid w:val="00310A84"/>
    <w:rsid w:val="00310ABE"/>
    <w:rsid w:val="003120E2"/>
    <w:rsid w:val="00312FCB"/>
    <w:rsid w:val="00314A33"/>
    <w:rsid w:val="00314B35"/>
    <w:rsid w:val="003150C9"/>
    <w:rsid w:val="00316E95"/>
    <w:rsid w:val="00317999"/>
    <w:rsid w:val="00317BB2"/>
    <w:rsid w:val="00317D20"/>
    <w:rsid w:val="003203EE"/>
    <w:rsid w:val="003215A9"/>
    <w:rsid w:val="00321ADA"/>
    <w:rsid w:val="00321CA5"/>
    <w:rsid w:val="003249BB"/>
    <w:rsid w:val="00324BBD"/>
    <w:rsid w:val="0032579A"/>
    <w:rsid w:val="003262EF"/>
    <w:rsid w:val="00326628"/>
    <w:rsid w:val="003266A4"/>
    <w:rsid w:val="00326D0F"/>
    <w:rsid w:val="00331FD1"/>
    <w:rsid w:val="00334B3A"/>
    <w:rsid w:val="00336D5E"/>
    <w:rsid w:val="00343FDD"/>
    <w:rsid w:val="00344DCF"/>
    <w:rsid w:val="003469D2"/>
    <w:rsid w:val="003519D5"/>
    <w:rsid w:val="0035425D"/>
    <w:rsid w:val="00354BEC"/>
    <w:rsid w:val="00355546"/>
    <w:rsid w:val="00355DA4"/>
    <w:rsid w:val="003617B0"/>
    <w:rsid w:val="0036261D"/>
    <w:rsid w:val="00363264"/>
    <w:rsid w:val="00364E2D"/>
    <w:rsid w:val="003650A2"/>
    <w:rsid w:val="00366932"/>
    <w:rsid w:val="0036725A"/>
    <w:rsid w:val="00372801"/>
    <w:rsid w:val="0037450D"/>
    <w:rsid w:val="003748AB"/>
    <w:rsid w:val="00377077"/>
    <w:rsid w:val="00377584"/>
    <w:rsid w:val="00380E07"/>
    <w:rsid w:val="00381AC7"/>
    <w:rsid w:val="00382987"/>
    <w:rsid w:val="00383FE9"/>
    <w:rsid w:val="003850F7"/>
    <w:rsid w:val="00385848"/>
    <w:rsid w:val="00393C64"/>
    <w:rsid w:val="00397E2B"/>
    <w:rsid w:val="003A1D91"/>
    <w:rsid w:val="003A34C1"/>
    <w:rsid w:val="003A4F88"/>
    <w:rsid w:val="003A53E9"/>
    <w:rsid w:val="003A6B8D"/>
    <w:rsid w:val="003A6F6E"/>
    <w:rsid w:val="003A74AE"/>
    <w:rsid w:val="003B0531"/>
    <w:rsid w:val="003B2399"/>
    <w:rsid w:val="003B49B6"/>
    <w:rsid w:val="003B5280"/>
    <w:rsid w:val="003B57AF"/>
    <w:rsid w:val="003B5868"/>
    <w:rsid w:val="003B5B5D"/>
    <w:rsid w:val="003B6DB7"/>
    <w:rsid w:val="003B6FE6"/>
    <w:rsid w:val="003B76C7"/>
    <w:rsid w:val="003B7ED4"/>
    <w:rsid w:val="003C0002"/>
    <w:rsid w:val="003C6671"/>
    <w:rsid w:val="003C7926"/>
    <w:rsid w:val="003C7CAA"/>
    <w:rsid w:val="003D1041"/>
    <w:rsid w:val="003D3561"/>
    <w:rsid w:val="003D4062"/>
    <w:rsid w:val="003D6367"/>
    <w:rsid w:val="003D6E0E"/>
    <w:rsid w:val="003E077B"/>
    <w:rsid w:val="003E46D0"/>
    <w:rsid w:val="003F07B9"/>
    <w:rsid w:val="003F0D3A"/>
    <w:rsid w:val="003F143C"/>
    <w:rsid w:val="003F1EE8"/>
    <w:rsid w:val="003F2006"/>
    <w:rsid w:val="003F4056"/>
    <w:rsid w:val="003F4EB3"/>
    <w:rsid w:val="003F511D"/>
    <w:rsid w:val="003F5BC9"/>
    <w:rsid w:val="003F63AC"/>
    <w:rsid w:val="003F6FE7"/>
    <w:rsid w:val="003F7C15"/>
    <w:rsid w:val="00400824"/>
    <w:rsid w:val="004037FA"/>
    <w:rsid w:val="0040394D"/>
    <w:rsid w:val="00403DFF"/>
    <w:rsid w:val="00404C11"/>
    <w:rsid w:val="00404FBF"/>
    <w:rsid w:val="0040692C"/>
    <w:rsid w:val="004073BF"/>
    <w:rsid w:val="00410F15"/>
    <w:rsid w:val="00411787"/>
    <w:rsid w:val="00413717"/>
    <w:rsid w:val="00420500"/>
    <w:rsid w:val="0042156E"/>
    <w:rsid w:val="00422A30"/>
    <w:rsid w:val="00423A68"/>
    <w:rsid w:val="00426B72"/>
    <w:rsid w:val="00426DEC"/>
    <w:rsid w:val="00426F65"/>
    <w:rsid w:val="00427CF5"/>
    <w:rsid w:val="0043006B"/>
    <w:rsid w:val="004320B1"/>
    <w:rsid w:val="00432D5D"/>
    <w:rsid w:val="00433440"/>
    <w:rsid w:val="004338FE"/>
    <w:rsid w:val="00434176"/>
    <w:rsid w:val="0043602F"/>
    <w:rsid w:val="004375A7"/>
    <w:rsid w:val="00440304"/>
    <w:rsid w:val="0044395E"/>
    <w:rsid w:val="0044426B"/>
    <w:rsid w:val="00444434"/>
    <w:rsid w:val="004449F4"/>
    <w:rsid w:val="0044739A"/>
    <w:rsid w:val="00450E54"/>
    <w:rsid w:val="00454253"/>
    <w:rsid w:val="0045646D"/>
    <w:rsid w:val="0045676A"/>
    <w:rsid w:val="0045694F"/>
    <w:rsid w:val="0045743E"/>
    <w:rsid w:val="0046076A"/>
    <w:rsid w:val="004609A3"/>
    <w:rsid w:val="00461736"/>
    <w:rsid w:val="00462481"/>
    <w:rsid w:val="00462DD1"/>
    <w:rsid w:val="00464F3A"/>
    <w:rsid w:val="00465366"/>
    <w:rsid w:val="0046640F"/>
    <w:rsid w:val="00467105"/>
    <w:rsid w:val="004700AB"/>
    <w:rsid w:val="004701B4"/>
    <w:rsid w:val="004714F5"/>
    <w:rsid w:val="004719E2"/>
    <w:rsid w:val="004743AF"/>
    <w:rsid w:val="004745F0"/>
    <w:rsid w:val="00485AFE"/>
    <w:rsid w:val="00485F35"/>
    <w:rsid w:val="00486FA7"/>
    <w:rsid w:val="00492BFF"/>
    <w:rsid w:val="004942F6"/>
    <w:rsid w:val="004951AF"/>
    <w:rsid w:val="004953F8"/>
    <w:rsid w:val="00497F31"/>
    <w:rsid w:val="004A08C8"/>
    <w:rsid w:val="004A16DD"/>
    <w:rsid w:val="004A232C"/>
    <w:rsid w:val="004A2C36"/>
    <w:rsid w:val="004A2D6C"/>
    <w:rsid w:val="004A2DD5"/>
    <w:rsid w:val="004A4341"/>
    <w:rsid w:val="004A4F14"/>
    <w:rsid w:val="004A568E"/>
    <w:rsid w:val="004A5B15"/>
    <w:rsid w:val="004A7CBA"/>
    <w:rsid w:val="004B1742"/>
    <w:rsid w:val="004B1D27"/>
    <w:rsid w:val="004B329A"/>
    <w:rsid w:val="004B3416"/>
    <w:rsid w:val="004B4A19"/>
    <w:rsid w:val="004B7165"/>
    <w:rsid w:val="004B76AA"/>
    <w:rsid w:val="004C1F27"/>
    <w:rsid w:val="004C31BC"/>
    <w:rsid w:val="004C47B9"/>
    <w:rsid w:val="004C52A4"/>
    <w:rsid w:val="004C5C32"/>
    <w:rsid w:val="004C666A"/>
    <w:rsid w:val="004D0054"/>
    <w:rsid w:val="004D2966"/>
    <w:rsid w:val="004D2B72"/>
    <w:rsid w:val="004D3872"/>
    <w:rsid w:val="004D3EFB"/>
    <w:rsid w:val="004D4D30"/>
    <w:rsid w:val="004D5450"/>
    <w:rsid w:val="004D5ADE"/>
    <w:rsid w:val="004D71AB"/>
    <w:rsid w:val="004D7305"/>
    <w:rsid w:val="004D78F4"/>
    <w:rsid w:val="004E0189"/>
    <w:rsid w:val="004E1576"/>
    <w:rsid w:val="004E592A"/>
    <w:rsid w:val="004F09B9"/>
    <w:rsid w:val="004F1CFB"/>
    <w:rsid w:val="004F2078"/>
    <w:rsid w:val="004F22A2"/>
    <w:rsid w:val="004F30B2"/>
    <w:rsid w:val="004F33A0"/>
    <w:rsid w:val="004F4070"/>
    <w:rsid w:val="004F59A7"/>
    <w:rsid w:val="004F7FCB"/>
    <w:rsid w:val="00503387"/>
    <w:rsid w:val="00505298"/>
    <w:rsid w:val="00505C0A"/>
    <w:rsid w:val="005103EB"/>
    <w:rsid w:val="00512DBB"/>
    <w:rsid w:val="00514FD0"/>
    <w:rsid w:val="00515CA5"/>
    <w:rsid w:val="0051610B"/>
    <w:rsid w:val="00516A6D"/>
    <w:rsid w:val="00521C5E"/>
    <w:rsid w:val="00521E3E"/>
    <w:rsid w:val="00522E9C"/>
    <w:rsid w:val="005233E3"/>
    <w:rsid w:val="00525587"/>
    <w:rsid w:val="0052605A"/>
    <w:rsid w:val="00526EE8"/>
    <w:rsid w:val="00531225"/>
    <w:rsid w:val="0053256E"/>
    <w:rsid w:val="0053489D"/>
    <w:rsid w:val="00534B9F"/>
    <w:rsid w:val="00534BB2"/>
    <w:rsid w:val="00534F6E"/>
    <w:rsid w:val="005365FE"/>
    <w:rsid w:val="0053663A"/>
    <w:rsid w:val="00536CBC"/>
    <w:rsid w:val="005427B2"/>
    <w:rsid w:val="00542A0E"/>
    <w:rsid w:val="00543948"/>
    <w:rsid w:val="00543CB8"/>
    <w:rsid w:val="00544118"/>
    <w:rsid w:val="00545C86"/>
    <w:rsid w:val="005473AF"/>
    <w:rsid w:val="0054761F"/>
    <w:rsid w:val="00547B06"/>
    <w:rsid w:val="00550318"/>
    <w:rsid w:val="00551A32"/>
    <w:rsid w:val="00552133"/>
    <w:rsid w:val="0055323B"/>
    <w:rsid w:val="00554131"/>
    <w:rsid w:val="0055431F"/>
    <w:rsid w:val="005555D2"/>
    <w:rsid w:val="00555C12"/>
    <w:rsid w:val="00556910"/>
    <w:rsid w:val="005571CC"/>
    <w:rsid w:val="00561137"/>
    <w:rsid w:val="00565370"/>
    <w:rsid w:val="0056537A"/>
    <w:rsid w:val="00567022"/>
    <w:rsid w:val="00567AB7"/>
    <w:rsid w:val="00570FA5"/>
    <w:rsid w:val="005718BD"/>
    <w:rsid w:val="00571ECC"/>
    <w:rsid w:val="00573797"/>
    <w:rsid w:val="00573D66"/>
    <w:rsid w:val="005764CA"/>
    <w:rsid w:val="0058315F"/>
    <w:rsid w:val="00583D63"/>
    <w:rsid w:val="00583EC8"/>
    <w:rsid w:val="00584734"/>
    <w:rsid w:val="00586470"/>
    <w:rsid w:val="00595E6B"/>
    <w:rsid w:val="005961A2"/>
    <w:rsid w:val="005970EC"/>
    <w:rsid w:val="005A069C"/>
    <w:rsid w:val="005A25C3"/>
    <w:rsid w:val="005A40CD"/>
    <w:rsid w:val="005A6CEB"/>
    <w:rsid w:val="005A72AB"/>
    <w:rsid w:val="005A7850"/>
    <w:rsid w:val="005B09D5"/>
    <w:rsid w:val="005B0ACE"/>
    <w:rsid w:val="005B4090"/>
    <w:rsid w:val="005B54BB"/>
    <w:rsid w:val="005B61B1"/>
    <w:rsid w:val="005B695F"/>
    <w:rsid w:val="005B6CFB"/>
    <w:rsid w:val="005C15F1"/>
    <w:rsid w:val="005C2333"/>
    <w:rsid w:val="005C31F2"/>
    <w:rsid w:val="005C42DD"/>
    <w:rsid w:val="005C69FD"/>
    <w:rsid w:val="005C6AA0"/>
    <w:rsid w:val="005C6E1F"/>
    <w:rsid w:val="005D020F"/>
    <w:rsid w:val="005D0391"/>
    <w:rsid w:val="005D36B3"/>
    <w:rsid w:val="005E129F"/>
    <w:rsid w:val="005E23DA"/>
    <w:rsid w:val="005E4985"/>
    <w:rsid w:val="005E4AB8"/>
    <w:rsid w:val="005E6189"/>
    <w:rsid w:val="005E7C2B"/>
    <w:rsid w:val="005F0712"/>
    <w:rsid w:val="005F0898"/>
    <w:rsid w:val="005F2366"/>
    <w:rsid w:val="005F246A"/>
    <w:rsid w:val="005F392D"/>
    <w:rsid w:val="005F3946"/>
    <w:rsid w:val="005F3DBD"/>
    <w:rsid w:val="005F48ED"/>
    <w:rsid w:val="005F64C1"/>
    <w:rsid w:val="005F67DC"/>
    <w:rsid w:val="005F6D2F"/>
    <w:rsid w:val="005F6F06"/>
    <w:rsid w:val="005F7D50"/>
    <w:rsid w:val="00600950"/>
    <w:rsid w:val="0060273F"/>
    <w:rsid w:val="00605685"/>
    <w:rsid w:val="00605AB6"/>
    <w:rsid w:val="00606A37"/>
    <w:rsid w:val="00607475"/>
    <w:rsid w:val="006114AF"/>
    <w:rsid w:val="00612589"/>
    <w:rsid w:val="006144B5"/>
    <w:rsid w:val="0061640D"/>
    <w:rsid w:val="006171F8"/>
    <w:rsid w:val="006173E6"/>
    <w:rsid w:val="006206DC"/>
    <w:rsid w:val="006209F2"/>
    <w:rsid w:val="00621863"/>
    <w:rsid w:val="00621875"/>
    <w:rsid w:val="00622997"/>
    <w:rsid w:val="00632731"/>
    <w:rsid w:val="00634A70"/>
    <w:rsid w:val="006354D6"/>
    <w:rsid w:val="00636B9D"/>
    <w:rsid w:val="006418BF"/>
    <w:rsid w:val="00641DA1"/>
    <w:rsid w:val="00642ACB"/>
    <w:rsid w:val="00644C61"/>
    <w:rsid w:val="00645B8D"/>
    <w:rsid w:val="00646773"/>
    <w:rsid w:val="0064695D"/>
    <w:rsid w:val="006507A1"/>
    <w:rsid w:val="00650974"/>
    <w:rsid w:val="00650D9F"/>
    <w:rsid w:val="00654F64"/>
    <w:rsid w:val="00656146"/>
    <w:rsid w:val="0065725A"/>
    <w:rsid w:val="006575A2"/>
    <w:rsid w:val="0066008E"/>
    <w:rsid w:val="00664A15"/>
    <w:rsid w:val="00664CD1"/>
    <w:rsid w:val="006650D7"/>
    <w:rsid w:val="0067003B"/>
    <w:rsid w:val="00670789"/>
    <w:rsid w:val="00671C82"/>
    <w:rsid w:val="00677D24"/>
    <w:rsid w:val="00680B3E"/>
    <w:rsid w:val="006818FF"/>
    <w:rsid w:val="00682F76"/>
    <w:rsid w:val="00684EB0"/>
    <w:rsid w:val="00686525"/>
    <w:rsid w:val="00686E1E"/>
    <w:rsid w:val="006873D3"/>
    <w:rsid w:val="006903CB"/>
    <w:rsid w:val="006914F1"/>
    <w:rsid w:val="00692897"/>
    <w:rsid w:val="006934CE"/>
    <w:rsid w:val="00695583"/>
    <w:rsid w:val="00697372"/>
    <w:rsid w:val="00697488"/>
    <w:rsid w:val="00697FE2"/>
    <w:rsid w:val="006A2234"/>
    <w:rsid w:val="006A24CB"/>
    <w:rsid w:val="006A2948"/>
    <w:rsid w:val="006A475E"/>
    <w:rsid w:val="006A673E"/>
    <w:rsid w:val="006A6E6F"/>
    <w:rsid w:val="006A7C5A"/>
    <w:rsid w:val="006B09DE"/>
    <w:rsid w:val="006B241F"/>
    <w:rsid w:val="006B33A2"/>
    <w:rsid w:val="006B3A2B"/>
    <w:rsid w:val="006B3FC1"/>
    <w:rsid w:val="006B5496"/>
    <w:rsid w:val="006B5AE8"/>
    <w:rsid w:val="006B6538"/>
    <w:rsid w:val="006B7549"/>
    <w:rsid w:val="006B7759"/>
    <w:rsid w:val="006C1308"/>
    <w:rsid w:val="006C1C77"/>
    <w:rsid w:val="006C2D95"/>
    <w:rsid w:val="006C442A"/>
    <w:rsid w:val="006C5A19"/>
    <w:rsid w:val="006C5FE2"/>
    <w:rsid w:val="006C6075"/>
    <w:rsid w:val="006C6CDF"/>
    <w:rsid w:val="006D200E"/>
    <w:rsid w:val="006D22F1"/>
    <w:rsid w:val="006D3EFF"/>
    <w:rsid w:val="006D570F"/>
    <w:rsid w:val="006D5AC8"/>
    <w:rsid w:val="006D78BA"/>
    <w:rsid w:val="006E30A5"/>
    <w:rsid w:val="006E6CB7"/>
    <w:rsid w:val="006F13C5"/>
    <w:rsid w:val="006F25B8"/>
    <w:rsid w:val="006F2CD2"/>
    <w:rsid w:val="006F371B"/>
    <w:rsid w:val="006F541C"/>
    <w:rsid w:val="006F61D2"/>
    <w:rsid w:val="007013F4"/>
    <w:rsid w:val="00702E31"/>
    <w:rsid w:val="007039B6"/>
    <w:rsid w:val="00703AB2"/>
    <w:rsid w:val="00704709"/>
    <w:rsid w:val="007049D5"/>
    <w:rsid w:val="00704FA8"/>
    <w:rsid w:val="00705978"/>
    <w:rsid w:val="00707EBF"/>
    <w:rsid w:val="007112AD"/>
    <w:rsid w:val="00713C62"/>
    <w:rsid w:val="007142D5"/>
    <w:rsid w:val="00714B6B"/>
    <w:rsid w:val="007167C5"/>
    <w:rsid w:val="00717DA4"/>
    <w:rsid w:val="00723EA4"/>
    <w:rsid w:val="0072689D"/>
    <w:rsid w:val="00727120"/>
    <w:rsid w:val="0073387C"/>
    <w:rsid w:val="00733C21"/>
    <w:rsid w:val="00734CCE"/>
    <w:rsid w:val="00735C19"/>
    <w:rsid w:val="00741336"/>
    <w:rsid w:val="00741C89"/>
    <w:rsid w:val="0074235C"/>
    <w:rsid w:val="00750534"/>
    <w:rsid w:val="00750BBC"/>
    <w:rsid w:val="00751A07"/>
    <w:rsid w:val="0075260B"/>
    <w:rsid w:val="00755FC6"/>
    <w:rsid w:val="00756F75"/>
    <w:rsid w:val="0075738F"/>
    <w:rsid w:val="00757EDB"/>
    <w:rsid w:val="007614BC"/>
    <w:rsid w:val="00761FF3"/>
    <w:rsid w:val="00763058"/>
    <w:rsid w:val="00765797"/>
    <w:rsid w:val="007679CA"/>
    <w:rsid w:val="00767D9A"/>
    <w:rsid w:val="007706C9"/>
    <w:rsid w:val="00771BE1"/>
    <w:rsid w:val="007724F2"/>
    <w:rsid w:val="007728D1"/>
    <w:rsid w:val="0077489A"/>
    <w:rsid w:val="00774B70"/>
    <w:rsid w:val="00776B15"/>
    <w:rsid w:val="00777F7E"/>
    <w:rsid w:val="00780861"/>
    <w:rsid w:val="00783626"/>
    <w:rsid w:val="00794C1A"/>
    <w:rsid w:val="00796926"/>
    <w:rsid w:val="007A1F8F"/>
    <w:rsid w:val="007A5DEC"/>
    <w:rsid w:val="007A7DD7"/>
    <w:rsid w:val="007B0A1F"/>
    <w:rsid w:val="007B1378"/>
    <w:rsid w:val="007B138B"/>
    <w:rsid w:val="007B15D6"/>
    <w:rsid w:val="007B1BBC"/>
    <w:rsid w:val="007B2AAA"/>
    <w:rsid w:val="007B5DEC"/>
    <w:rsid w:val="007B6C48"/>
    <w:rsid w:val="007B7721"/>
    <w:rsid w:val="007C38A1"/>
    <w:rsid w:val="007C3964"/>
    <w:rsid w:val="007C599E"/>
    <w:rsid w:val="007C5E50"/>
    <w:rsid w:val="007D0651"/>
    <w:rsid w:val="007D1BAC"/>
    <w:rsid w:val="007D52C0"/>
    <w:rsid w:val="007D72E8"/>
    <w:rsid w:val="007E0B40"/>
    <w:rsid w:val="007E0DB4"/>
    <w:rsid w:val="007E2453"/>
    <w:rsid w:val="007E3806"/>
    <w:rsid w:val="007E4782"/>
    <w:rsid w:val="007E5761"/>
    <w:rsid w:val="007E644B"/>
    <w:rsid w:val="007E7553"/>
    <w:rsid w:val="007E7965"/>
    <w:rsid w:val="007E7AE3"/>
    <w:rsid w:val="007F054A"/>
    <w:rsid w:val="007F1377"/>
    <w:rsid w:val="007F1549"/>
    <w:rsid w:val="007F1F67"/>
    <w:rsid w:val="007F1FA3"/>
    <w:rsid w:val="007F29D5"/>
    <w:rsid w:val="007F41F9"/>
    <w:rsid w:val="007F51EE"/>
    <w:rsid w:val="007F61FA"/>
    <w:rsid w:val="007F6E37"/>
    <w:rsid w:val="008005FB"/>
    <w:rsid w:val="008006C2"/>
    <w:rsid w:val="00800C23"/>
    <w:rsid w:val="00800F10"/>
    <w:rsid w:val="00803E93"/>
    <w:rsid w:val="008041F4"/>
    <w:rsid w:val="008059E7"/>
    <w:rsid w:val="008122EA"/>
    <w:rsid w:val="00812D36"/>
    <w:rsid w:val="00815B5F"/>
    <w:rsid w:val="00823D0E"/>
    <w:rsid w:val="00824AFF"/>
    <w:rsid w:val="00824B2B"/>
    <w:rsid w:val="0082581F"/>
    <w:rsid w:val="0082641A"/>
    <w:rsid w:val="0083078A"/>
    <w:rsid w:val="00830A02"/>
    <w:rsid w:val="008327DB"/>
    <w:rsid w:val="00832ED3"/>
    <w:rsid w:val="008378D3"/>
    <w:rsid w:val="008409A0"/>
    <w:rsid w:val="0084327D"/>
    <w:rsid w:val="0084394B"/>
    <w:rsid w:val="008445C8"/>
    <w:rsid w:val="00844A34"/>
    <w:rsid w:val="00844A4D"/>
    <w:rsid w:val="00846EE8"/>
    <w:rsid w:val="00850293"/>
    <w:rsid w:val="00851A1C"/>
    <w:rsid w:val="008549D4"/>
    <w:rsid w:val="008566D6"/>
    <w:rsid w:val="00856923"/>
    <w:rsid w:val="0086133E"/>
    <w:rsid w:val="00862857"/>
    <w:rsid w:val="00862C35"/>
    <w:rsid w:val="00862E7B"/>
    <w:rsid w:val="00862F76"/>
    <w:rsid w:val="00864246"/>
    <w:rsid w:val="00866443"/>
    <w:rsid w:val="0086730C"/>
    <w:rsid w:val="00867477"/>
    <w:rsid w:val="00870221"/>
    <w:rsid w:val="00873FAE"/>
    <w:rsid w:val="00875140"/>
    <w:rsid w:val="008805BC"/>
    <w:rsid w:val="00881379"/>
    <w:rsid w:val="00882243"/>
    <w:rsid w:val="00882F31"/>
    <w:rsid w:val="00883950"/>
    <w:rsid w:val="008846C6"/>
    <w:rsid w:val="00884AE0"/>
    <w:rsid w:val="00886DF7"/>
    <w:rsid w:val="008872F3"/>
    <w:rsid w:val="00890028"/>
    <w:rsid w:val="00891476"/>
    <w:rsid w:val="00891DFA"/>
    <w:rsid w:val="00895FE7"/>
    <w:rsid w:val="0089650B"/>
    <w:rsid w:val="00896CE3"/>
    <w:rsid w:val="008A0FC2"/>
    <w:rsid w:val="008A45AE"/>
    <w:rsid w:val="008B0718"/>
    <w:rsid w:val="008B14E4"/>
    <w:rsid w:val="008B1C79"/>
    <w:rsid w:val="008B2AC1"/>
    <w:rsid w:val="008B3981"/>
    <w:rsid w:val="008B477D"/>
    <w:rsid w:val="008C0772"/>
    <w:rsid w:val="008C0D9C"/>
    <w:rsid w:val="008C0DCA"/>
    <w:rsid w:val="008C165B"/>
    <w:rsid w:val="008C2BE6"/>
    <w:rsid w:val="008C2C00"/>
    <w:rsid w:val="008C367C"/>
    <w:rsid w:val="008C4E43"/>
    <w:rsid w:val="008C4FAE"/>
    <w:rsid w:val="008C597C"/>
    <w:rsid w:val="008C620E"/>
    <w:rsid w:val="008C65C0"/>
    <w:rsid w:val="008C6A2A"/>
    <w:rsid w:val="008C6D35"/>
    <w:rsid w:val="008C7101"/>
    <w:rsid w:val="008C737B"/>
    <w:rsid w:val="008D12C4"/>
    <w:rsid w:val="008D4858"/>
    <w:rsid w:val="008D4DA6"/>
    <w:rsid w:val="008D5483"/>
    <w:rsid w:val="008D65C1"/>
    <w:rsid w:val="008E1670"/>
    <w:rsid w:val="008E3540"/>
    <w:rsid w:val="008E413F"/>
    <w:rsid w:val="008F05AC"/>
    <w:rsid w:val="008F07A6"/>
    <w:rsid w:val="008F2C62"/>
    <w:rsid w:val="008F32AE"/>
    <w:rsid w:val="008F5C08"/>
    <w:rsid w:val="008F789B"/>
    <w:rsid w:val="008F7CFE"/>
    <w:rsid w:val="00900D1A"/>
    <w:rsid w:val="00901BAE"/>
    <w:rsid w:val="009021F9"/>
    <w:rsid w:val="0090282D"/>
    <w:rsid w:val="00902DD5"/>
    <w:rsid w:val="00904397"/>
    <w:rsid w:val="00904580"/>
    <w:rsid w:val="009045D0"/>
    <w:rsid w:val="00905518"/>
    <w:rsid w:val="00905B8D"/>
    <w:rsid w:val="00905F7B"/>
    <w:rsid w:val="0090715B"/>
    <w:rsid w:val="00912921"/>
    <w:rsid w:val="0091318F"/>
    <w:rsid w:val="00914772"/>
    <w:rsid w:val="00916D88"/>
    <w:rsid w:val="0092019C"/>
    <w:rsid w:val="00921569"/>
    <w:rsid w:val="00921815"/>
    <w:rsid w:val="00921841"/>
    <w:rsid w:val="00924473"/>
    <w:rsid w:val="009248B2"/>
    <w:rsid w:val="00925C45"/>
    <w:rsid w:val="00930825"/>
    <w:rsid w:val="00931269"/>
    <w:rsid w:val="0093230A"/>
    <w:rsid w:val="00933AED"/>
    <w:rsid w:val="00934CD2"/>
    <w:rsid w:val="00934F1F"/>
    <w:rsid w:val="00936B1E"/>
    <w:rsid w:val="0094049F"/>
    <w:rsid w:val="0094324A"/>
    <w:rsid w:val="00943574"/>
    <w:rsid w:val="00944430"/>
    <w:rsid w:val="009449D1"/>
    <w:rsid w:val="009468E6"/>
    <w:rsid w:val="00950275"/>
    <w:rsid w:val="0095032E"/>
    <w:rsid w:val="00954169"/>
    <w:rsid w:val="00954312"/>
    <w:rsid w:val="00955C30"/>
    <w:rsid w:val="00956381"/>
    <w:rsid w:val="0096042B"/>
    <w:rsid w:val="00963D9A"/>
    <w:rsid w:val="00967F0A"/>
    <w:rsid w:val="00972C36"/>
    <w:rsid w:val="009739AB"/>
    <w:rsid w:val="00977772"/>
    <w:rsid w:val="009801BE"/>
    <w:rsid w:val="0098352E"/>
    <w:rsid w:val="00984105"/>
    <w:rsid w:val="0098534E"/>
    <w:rsid w:val="00990111"/>
    <w:rsid w:val="00990691"/>
    <w:rsid w:val="009911D3"/>
    <w:rsid w:val="009918BA"/>
    <w:rsid w:val="009924CA"/>
    <w:rsid w:val="0099357C"/>
    <w:rsid w:val="0099525B"/>
    <w:rsid w:val="009A00A5"/>
    <w:rsid w:val="009A02FA"/>
    <w:rsid w:val="009A0A01"/>
    <w:rsid w:val="009A0D38"/>
    <w:rsid w:val="009A118A"/>
    <w:rsid w:val="009A2FD0"/>
    <w:rsid w:val="009A695D"/>
    <w:rsid w:val="009A732F"/>
    <w:rsid w:val="009B13A3"/>
    <w:rsid w:val="009B1D24"/>
    <w:rsid w:val="009B2E35"/>
    <w:rsid w:val="009B2EB4"/>
    <w:rsid w:val="009B3750"/>
    <w:rsid w:val="009B478B"/>
    <w:rsid w:val="009B642A"/>
    <w:rsid w:val="009B7A12"/>
    <w:rsid w:val="009C0843"/>
    <w:rsid w:val="009C12D4"/>
    <w:rsid w:val="009C16ED"/>
    <w:rsid w:val="009C21EC"/>
    <w:rsid w:val="009C4E05"/>
    <w:rsid w:val="009C505A"/>
    <w:rsid w:val="009C5621"/>
    <w:rsid w:val="009C597B"/>
    <w:rsid w:val="009C61B9"/>
    <w:rsid w:val="009C7587"/>
    <w:rsid w:val="009C7AE6"/>
    <w:rsid w:val="009D25DF"/>
    <w:rsid w:val="009D394E"/>
    <w:rsid w:val="009D57F4"/>
    <w:rsid w:val="009E110E"/>
    <w:rsid w:val="009E62E3"/>
    <w:rsid w:val="009E7ACA"/>
    <w:rsid w:val="009F13BA"/>
    <w:rsid w:val="009F24DD"/>
    <w:rsid w:val="009F2595"/>
    <w:rsid w:val="009F3A98"/>
    <w:rsid w:val="009F7EE4"/>
    <w:rsid w:val="00A00707"/>
    <w:rsid w:val="00A0111A"/>
    <w:rsid w:val="00A0182A"/>
    <w:rsid w:val="00A01C19"/>
    <w:rsid w:val="00A021BE"/>
    <w:rsid w:val="00A02C42"/>
    <w:rsid w:val="00A03637"/>
    <w:rsid w:val="00A04BC0"/>
    <w:rsid w:val="00A06C20"/>
    <w:rsid w:val="00A10023"/>
    <w:rsid w:val="00A11D49"/>
    <w:rsid w:val="00A14310"/>
    <w:rsid w:val="00A15702"/>
    <w:rsid w:val="00A16749"/>
    <w:rsid w:val="00A16B39"/>
    <w:rsid w:val="00A16EB5"/>
    <w:rsid w:val="00A170C9"/>
    <w:rsid w:val="00A23FB6"/>
    <w:rsid w:val="00A24474"/>
    <w:rsid w:val="00A24C63"/>
    <w:rsid w:val="00A30362"/>
    <w:rsid w:val="00A31851"/>
    <w:rsid w:val="00A31EBB"/>
    <w:rsid w:val="00A3330C"/>
    <w:rsid w:val="00A33969"/>
    <w:rsid w:val="00A339F1"/>
    <w:rsid w:val="00A340A9"/>
    <w:rsid w:val="00A358EC"/>
    <w:rsid w:val="00A360E5"/>
    <w:rsid w:val="00A371B9"/>
    <w:rsid w:val="00A41EA7"/>
    <w:rsid w:val="00A43C58"/>
    <w:rsid w:val="00A44667"/>
    <w:rsid w:val="00A47BD3"/>
    <w:rsid w:val="00A504C8"/>
    <w:rsid w:val="00A50511"/>
    <w:rsid w:val="00A523CE"/>
    <w:rsid w:val="00A52404"/>
    <w:rsid w:val="00A52F78"/>
    <w:rsid w:val="00A53CEC"/>
    <w:rsid w:val="00A56047"/>
    <w:rsid w:val="00A63454"/>
    <w:rsid w:val="00A64601"/>
    <w:rsid w:val="00A66E5C"/>
    <w:rsid w:val="00A70F83"/>
    <w:rsid w:val="00A715E9"/>
    <w:rsid w:val="00A71F35"/>
    <w:rsid w:val="00A72569"/>
    <w:rsid w:val="00A7443B"/>
    <w:rsid w:val="00A744FE"/>
    <w:rsid w:val="00A75538"/>
    <w:rsid w:val="00A77F08"/>
    <w:rsid w:val="00A8114B"/>
    <w:rsid w:val="00A81A9F"/>
    <w:rsid w:val="00A823F2"/>
    <w:rsid w:val="00A837FE"/>
    <w:rsid w:val="00A8460E"/>
    <w:rsid w:val="00A84CC3"/>
    <w:rsid w:val="00A84D55"/>
    <w:rsid w:val="00A851F1"/>
    <w:rsid w:val="00A87DEA"/>
    <w:rsid w:val="00A90946"/>
    <w:rsid w:val="00A90ED9"/>
    <w:rsid w:val="00A91265"/>
    <w:rsid w:val="00A962CC"/>
    <w:rsid w:val="00AA1270"/>
    <w:rsid w:val="00AA20B0"/>
    <w:rsid w:val="00AA2FDF"/>
    <w:rsid w:val="00AA405F"/>
    <w:rsid w:val="00AA46F5"/>
    <w:rsid w:val="00AA4E63"/>
    <w:rsid w:val="00AA5D46"/>
    <w:rsid w:val="00AA6E54"/>
    <w:rsid w:val="00AA7070"/>
    <w:rsid w:val="00AA7267"/>
    <w:rsid w:val="00AB20B2"/>
    <w:rsid w:val="00AB23FF"/>
    <w:rsid w:val="00AB258D"/>
    <w:rsid w:val="00AB26FB"/>
    <w:rsid w:val="00AB32B1"/>
    <w:rsid w:val="00AB3A8E"/>
    <w:rsid w:val="00AB3ADB"/>
    <w:rsid w:val="00AB527E"/>
    <w:rsid w:val="00AB5F77"/>
    <w:rsid w:val="00AB6C77"/>
    <w:rsid w:val="00AC1287"/>
    <w:rsid w:val="00AC2174"/>
    <w:rsid w:val="00AC2720"/>
    <w:rsid w:val="00AC5F69"/>
    <w:rsid w:val="00AC6D9B"/>
    <w:rsid w:val="00AC70F5"/>
    <w:rsid w:val="00AC71D9"/>
    <w:rsid w:val="00AD2B62"/>
    <w:rsid w:val="00AD35E7"/>
    <w:rsid w:val="00AD404F"/>
    <w:rsid w:val="00AD5930"/>
    <w:rsid w:val="00AD6CF9"/>
    <w:rsid w:val="00AD7529"/>
    <w:rsid w:val="00AD770C"/>
    <w:rsid w:val="00AE084C"/>
    <w:rsid w:val="00AE0B6A"/>
    <w:rsid w:val="00AE23EF"/>
    <w:rsid w:val="00AE25CB"/>
    <w:rsid w:val="00AE29CA"/>
    <w:rsid w:val="00AE4005"/>
    <w:rsid w:val="00AE511F"/>
    <w:rsid w:val="00AE6269"/>
    <w:rsid w:val="00AE6E32"/>
    <w:rsid w:val="00AE773F"/>
    <w:rsid w:val="00AF44BF"/>
    <w:rsid w:val="00AF53A7"/>
    <w:rsid w:val="00B011E2"/>
    <w:rsid w:val="00B025BC"/>
    <w:rsid w:val="00B0392B"/>
    <w:rsid w:val="00B0561D"/>
    <w:rsid w:val="00B1095E"/>
    <w:rsid w:val="00B11C9C"/>
    <w:rsid w:val="00B15455"/>
    <w:rsid w:val="00B17AAE"/>
    <w:rsid w:val="00B20774"/>
    <w:rsid w:val="00B21383"/>
    <w:rsid w:val="00B21409"/>
    <w:rsid w:val="00B2233E"/>
    <w:rsid w:val="00B25B1A"/>
    <w:rsid w:val="00B25E63"/>
    <w:rsid w:val="00B2744C"/>
    <w:rsid w:val="00B2786E"/>
    <w:rsid w:val="00B32AB6"/>
    <w:rsid w:val="00B32B21"/>
    <w:rsid w:val="00B32CF8"/>
    <w:rsid w:val="00B3328B"/>
    <w:rsid w:val="00B33615"/>
    <w:rsid w:val="00B34B55"/>
    <w:rsid w:val="00B34DB8"/>
    <w:rsid w:val="00B36B11"/>
    <w:rsid w:val="00B403A0"/>
    <w:rsid w:val="00B413EA"/>
    <w:rsid w:val="00B444EA"/>
    <w:rsid w:val="00B44BCE"/>
    <w:rsid w:val="00B45B86"/>
    <w:rsid w:val="00B468F3"/>
    <w:rsid w:val="00B475B9"/>
    <w:rsid w:val="00B516C1"/>
    <w:rsid w:val="00B51E6B"/>
    <w:rsid w:val="00B53E4A"/>
    <w:rsid w:val="00B55D47"/>
    <w:rsid w:val="00B55FD8"/>
    <w:rsid w:val="00B56361"/>
    <w:rsid w:val="00B56704"/>
    <w:rsid w:val="00B57B84"/>
    <w:rsid w:val="00B60AB5"/>
    <w:rsid w:val="00B611F2"/>
    <w:rsid w:val="00B641B8"/>
    <w:rsid w:val="00B646F5"/>
    <w:rsid w:val="00B660A6"/>
    <w:rsid w:val="00B66385"/>
    <w:rsid w:val="00B704CD"/>
    <w:rsid w:val="00B74298"/>
    <w:rsid w:val="00B74EFA"/>
    <w:rsid w:val="00B75B96"/>
    <w:rsid w:val="00B8024A"/>
    <w:rsid w:val="00B81390"/>
    <w:rsid w:val="00B81C5C"/>
    <w:rsid w:val="00B82C39"/>
    <w:rsid w:val="00B85595"/>
    <w:rsid w:val="00B865C2"/>
    <w:rsid w:val="00B87D8A"/>
    <w:rsid w:val="00B96D05"/>
    <w:rsid w:val="00BA3088"/>
    <w:rsid w:val="00BA3FF5"/>
    <w:rsid w:val="00BA5707"/>
    <w:rsid w:val="00BA7EC1"/>
    <w:rsid w:val="00BB19BC"/>
    <w:rsid w:val="00BB28B8"/>
    <w:rsid w:val="00BB6D2B"/>
    <w:rsid w:val="00BB7D8B"/>
    <w:rsid w:val="00BC0946"/>
    <w:rsid w:val="00BC2241"/>
    <w:rsid w:val="00BC2706"/>
    <w:rsid w:val="00BC3329"/>
    <w:rsid w:val="00BC41D9"/>
    <w:rsid w:val="00BC5119"/>
    <w:rsid w:val="00BC597B"/>
    <w:rsid w:val="00BC5EA5"/>
    <w:rsid w:val="00BC6047"/>
    <w:rsid w:val="00BC65FD"/>
    <w:rsid w:val="00BC66B4"/>
    <w:rsid w:val="00BD02BA"/>
    <w:rsid w:val="00BD1349"/>
    <w:rsid w:val="00BD1E74"/>
    <w:rsid w:val="00BD1EB3"/>
    <w:rsid w:val="00BD3B6B"/>
    <w:rsid w:val="00BD5357"/>
    <w:rsid w:val="00BD5DCD"/>
    <w:rsid w:val="00BD789A"/>
    <w:rsid w:val="00BE20C6"/>
    <w:rsid w:val="00BE3501"/>
    <w:rsid w:val="00BE36C4"/>
    <w:rsid w:val="00BE6709"/>
    <w:rsid w:val="00BF1AE2"/>
    <w:rsid w:val="00BF265B"/>
    <w:rsid w:val="00BF3712"/>
    <w:rsid w:val="00BF4F4E"/>
    <w:rsid w:val="00BF68C6"/>
    <w:rsid w:val="00BF702C"/>
    <w:rsid w:val="00BF70BB"/>
    <w:rsid w:val="00BF73E6"/>
    <w:rsid w:val="00BF7704"/>
    <w:rsid w:val="00C00DE0"/>
    <w:rsid w:val="00C02889"/>
    <w:rsid w:val="00C02CE3"/>
    <w:rsid w:val="00C035EC"/>
    <w:rsid w:val="00C044C8"/>
    <w:rsid w:val="00C078C2"/>
    <w:rsid w:val="00C12C9E"/>
    <w:rsid w:val="00C15771"/>
    <w:rsid w:val="00C20183"/>
    <w:rsid w:val="00C22170"/>
    <w:rsid w:val="00C26584"/>
    <w:rsid w:val="00C27182"/>
    <w:rsid w:val="00C31559"/>
    <w:rsid w:val="00C31E5A"/>
    <w:rsid w:val="00C33007"/>
    <w:rsid w:val="00C33072"/>
    <w:rsid w:val="00C33EFF"/>
    <w:rsid w:val="00C3598D"/>
    <w:rsid w:val="00C376E0"/>
    <w:rsid w:val="00C3785C"/>
    <w:rsid w:val="00C40C91"/>
    <w:rsid w:val="00C47AD4"/>
    <w:rsid w:val="00C47C31"/>
    <w:rsid w:val="00C52837"/>
    <w:rsid w:val="00C52E7B"/>
    <w:rsid w:val="00C5348C"/>
    <w:rsid w:val="00C54DCB"/>
    <w:rsid w:val="00C551CB"/>
    <w:rsid w:val="00C566E4"/>
    <w:rsid w:val="00C618BA"/>
    <w:rsid w:val="00C62C67"/>
    <w:rsid w:val="00C63702"/>
    <w:rsid w:val="00C63903"/>
    <w:rsid w:val="00C643E6"/>
    <w:rsid w:val="00C64680"/>
    <w:rsid w:val="00C657C8"/>
    <w:rsid w:val="00C670EA"/>
    <w:rsid w:val="00C6732F"/>
    <w:rsid w:val="00C673BF"/>
    <w:rsid w:val="00C7168A"/>
    <w:rsid w:val="00C7302E"/>
    <w:rsid w:val="00C7405A"/>
    <w:rsid w:val="00C74595"/>
    <w:rsid w:val="00C74A94"/>
    <w:rsid w:val="00C7733C"/>
    <w:rsid w:val="00C81C22"/>
    <w:rsid w:val="00C82999"/>
    <w:rsid w:val="00C835EE"/>
    <w:rsid w:val="00C849D5"/>
    <w:rsid w:val="00C85DAE"/>
    <w:rsid w:val="00C870F5"/>
    <w:rsid w:val="00C8732F"/>
    <w:rsid w:val="00C90A1A"/>
    <w:rsid w:val="00C92471"/>
    <w:rsid w:val="00C93123"/>
    <w:rsid w:val="00C946E5"/>
    <w:rsid w:val="00C97DD6"/>
    <w:rsid w:val="00CA0038"/>
    <w:rsid w:val="00CA00FC"/>
    <w:rsid w:val="00CA34B6"/>
    <w:rsid w:val="00CA7FF3"/>
    <w:rsid w:val="00CB0BC8"/>
    <w:rsid w:val="00CB5657"/>
    <w:rsid w:val="00CB6E54"/>
    <w:rsid w:val="00CC1722"/>
    <w:rsid w:val="00CC2B38"/>
    <w:rsid w:val="00CC4420"/>
    <w:rsid w:val="00CC4C5E"/>
    <w:rsid w:val="00CC4DC4"/>
    <w:rsid w:val="00CC508C"/>
    <w:rsid w:val="00CC50DB"/>
    <w:rsid w:val="00CC5DD6"/>
    <w:rsid w:val="00CC6127"/>
    <w:rsid w:val="00CD107E"/>
    <w:rsid w:val="00CD1BD7"/>
    <w:rsid w:val="00CD3D18"/>
    <w:rsid w:val="00CD57AB"/>
    <w:rsid w:val="00CD647F"/>
    <w:rsid w:val="00CE00A0"/>
    <w:rsid w:val="00CE0B1F"/>
    <w:rsid w:val="00CE77BC"/>
    <w:rsid w:val="00CF0B2C"/>
    <w:rsid w:val="00CF0C04"/>
    <w:rsid w:val="00CF1CAF"/>
    <w:rsid w:val="00CF2607"/>
    <w:rsid w:val="00CF6526"/>
    <w:rsid w:val="00CF684E"/>
    <w:rsid w:val="00D048F7"/>
    <w:rsid w:val="00D07E16"/>
    <w:rsid w:val="00D1137F"/>
    <w:rsid w:val="00D1225E"/>
    <w:rsid w:val="00D12853"/>
    <w:rsid w:val="00D15303"/>
    <w:rsid w:val="00D159AE"/>
    <w:rsid w:val="00D20056"/>
    <w:rsid w:val="00D20747"/>
    <w:rsid w:val="00D207F7"/>
    <w:rsid w:val="00D210FE"/>
    <w:rsid w:val="00D24CB8"/>
    <w:rsid w:val="00D262E6"/>
    <w:rsid w:val="00D26835"/>
    <w:rsid w:val="00D274B8"/>
    <w:rsid w:val="00D318E0"/>
    <w:rsid w:val="00D32C3B"/>
    <w:rsid w:val="00D3457E"/>
    <w:rsid w:val="00D36F29"/>
    <w:rsid w:val="00D37522"/>
    <w:rsid w:val="00D405F1"/>
    <w:rsid w:val="00D431A9"/>
    <w:rsid w:val="00D44210"/>
    <w:rsid w:val="00D44AAE"/>
    <w:rsid w:val="00D4627D"/>
    <w:rsid w:val="00D472A1"/>
    <w:rsid w:val="00D513E6"/>
    <w:rsid w:val="00D51B8F"/>
    <w:rsid w:val="00D51DD3"/>
    <w:rsid w:val="00D56381"/>
    <w:rsid w:val="00D5728F"/>
    <w:rsid w:val="00D57334"/>
    <w:rsid w:val="00D603A3"/>
    <w:rsid w:val="00D61EC0"/>
    <w:rsid w:val="00D6277B"/>
    <w:rsid w:val="00D64D8E"/>
    <w:rsid w:val="00D654FC"/>
    <w:rsid w:val="00D660ED"/>
    <w:rsid w:val="00D70E22"/>
    <w:rsid w:val="00D71153"/>
    <w:rsid w:val="00D7136C"/>
    <w:rsid w:val="00D72B18"/>
    <w:rsid w:val="00D73050"/>
    <w:rsid w:val="00D74DDA"/>
    <w:rsid w:val="00D75BC7"/>
    <w:rsid w:val="00D765B4"/>
    <w:rsid w:val="00D82493"/>
    <w:rsid w:val="00D82B8A"/>
    <w:rsid w:val="00D8487C"/>
    <w:rsid w:val="00D871A8"/>
    <w:rsid w:val="00D87F13"/>
    <w:rsid w:val="00D91CFD"/>
    <w:rsid w:val="00D92B40"/>
    <w:rsid w:val="00D9381F"/>
    <w:rsid w:val="00D93F95"/>
    <w:rsid w:val="00DA031C"/>
    <w:rsid w:val="00DA0761"/>
    <w:rsid w:val="00DA0C08"/>
    <w:rsid w:val="00DA360F"/>
    <w:rsid w:val="00DA46DB"/>
    <w:rsid w:val="00DB2128"/>
    <w:rsid w:val="00DB384C"/>
    <w:rsid w:val="00DB5FFE"/>
    <w:rsid w:val="00DC310E"/>
    <w:rsid w:val="00DC33FF"/>
    <w:rsid w:val="00DC3827"/>
    <w:rsid w:val="00DC4413"/>
    <w:rsid w:val="00DC4B76"/>
    <w:rsid w:val="00DC7128"/>
    <w:rsid w:val="00DD23DE"/>
    <w:rsid w:val="00DD472A"/>
    <w:rsid w:val="00DD4DEF"/>
    <w:rsid w:val="00DD511D"/>
    <w:rsid w:val="00DD5AAC"/>
    <w:rsid w:val="00DD5F83"/>
    <w:rsid w:val="00DD6944"/>
    <w:rsid w:val="00DD6D87"/>
    <w:rsid w:val="00DD6F73"/>
    <w:rsid w:val="00DD7C82"/>
    <w:rsid w:val="00DE04FB"/>
    <w:rsid w:val="00DE0CFE"/>
    <w:rsid w:val="00DE2A45"/>
    <w:rsid w:val="00DE5B1A"/>
    <w:rsid w:val="00DE7054"/>
    <w:rsid w:val="00DE7C88"/>
    <w:rsid w:val="00DF1A20"/>
    <w:rsid w:val="00DF29D5"/>
    <w:rsid w:val="00DF30A6"/>
    <w:rsid w:val="00DF3B67"/>
    <w:rsid w:val="00DF3FB2"/>
    <w:rsid w:val="00DF51AC"/>
    <w:rsid w:val="00DF5674"/>
    <w:rsid w:val="00DF640E"/>
    <w:rsid w:val="00E00553"/>
    <w:rsid w:val="00E046D3"/>
    <w:rsid w:val="00E054E5"/>
    <w:rsid w:val="00E05BE1"/>
    <w:rsid w:val="00E06B66"/>
    <w:rsid w:val="00E06ED5"/>
    <w:rsid w:val="00E101E2"/>
    <w:rsid w:val="00E109CC"/>
    <w:rsid w:val="00E120D3"/>
    <w:rsid w:val="00E155F0"/>
    <w:rsid w:val="00E17762"/>
    <w:rsid w:val="00E218F4"/>
    <w:rsid w:val="00E21937"/>
    <w:rsid w:val="00E24172"/>
    <w:rsid w:val="00E246D5"/>
    <w:rsid w:val="00E26968"/>
    <w:rsid w:val="00E27A1D"/>
    <w:rsid w:val="00E3539F"/>
    <w:rsid w:val="00E35E67"/>
    <w:rsid w:val="00E4082F"/>
    <w:rsid w:val="00E4129F"/>
    <w:rsid w:val="00E42943"/>
    <w:rsid w:val="00E43797"/>
    <w:rsid w:val="00E4394A"/>
    <w:rsid w:val="00E43ED1"/>
    <w:rsid w:val="00E44C56"/>
    <w:rsid w:val="00E460C8"/>
    <w:rsid w:val="00E46445"/>
    <w:rsid w:val="00E46921"/>
    <w:rsid w:val="00E47F8B"/>
    <w:rsid w:val="00E5112D"/>
    <w:rsid w:val="00E530E0"/>
    <w:rsid w:val="00E53B6B"/>
    <w:rsid w:val="00E5430D"/>
    <w:rsid w:val="00E56EB4"/>
    <w:rsid w:val="00E6115D"/>
    <w:rsid w:val="00E62AEF"/>
    <w:rsid w:val="00E62D89"/>
    <w:rsid w:val="00E64351"/>
    <w:rsid w:val="00E64AD6"/>
    <w:rsid w:val="00E650EE"/>
    <w:rsid w:val="00E663B2"/>
    <w:rsid w:val="00E67369"/>
    <w:rsid w:val="00E712DD"/>
    <w:rsid w:val="00E75DD7"/>
    <w:rsid w:val="00E76E0E"/>
    <w:rsid w:val="00E815D8"/>
    <w:rsid w:val="00E82EDA"/>
    <w:rsid w:val="00E852A3"/>
    <w:rsid w:val="00E8758C"/>
    <w:rsid w:val="00E90AC2"/>
    <w:rsid w:val="00E93E47"/>
    <w:rsid w:val="00E94014"/>
    <w:rsid w:val="00E946CC"/>
    <w:rsid w:val="00E95395"/>
    <w:rsid w:val="00E95DE4"/>
    <w:rsid w:val="00E95FD1"/>
    <w:rsid w:val="00E9644D"/>
    <w:rsid w:val="00E967F5"/>
    <w:rsid w:val="00EA03B7"/>
    <w:rsid w:val="00EA145D"/>
    <w:rsid w:val="00EA33E1"/>
    <w:rsid w:val="00EA3D80"/>
    <w:rsid w:val="00EA6973"/>
    <w:rsid w:val="00EA7E68"/>
    <w:rsid w:val="00EB052E"/>
    <w:rsid w:val="00EB072D"/>
    <w:rsid w:val="00EB0DF2"/>
    <w:rsid w:val="00EB2296"/>
    <w:rsid w:val="00EB234D"/>
    <w:rsid w:val="00EB37A9"/>
    <w:rsid w:val="00EB5E8E"/>
    <w:rsid w:val="00EB73C7"/>
    <w:rsid w:val="00EB76C5"/>
    <w:rsid w:val="00EB7B06"/>
    <w:rsid w:val="00EC0907"/>
    <w:rsid w:val="00EC1B2D"/>
    <w:rsid w:val="00EC1C2B"/>
    <w:rsid w:val="00EC216C"/>
    <w:rsid w:val="00EC2FF0"/>
    <w:rsid w:val="00EC54F6"/>
    <w:rsid w:val="00ED08AB"/>
    <w:rsid w:val="00ED1A70"/>
    <w:rsid w:val="00ED4B82"/>
    <w:rsid w:val="00ED4F6A"/>
    <w:rsid w:val="00ED53FC"/>
    <w:rsid w:val="00ED5724"/>
    <w:rsid w:val="00ED7530"/>
    <w:rsid w:val="00EE1514"/>
    <w:rsid w:val="00EE3681"/>
    <w:rsid w:val="00EE3988"/>
    <w:rsid w:val="00EE5EE6"/>
    <w:rsid w:val="00EE6456"/>
    <w:rsid w:val="00EE6EEA"/>
    <w:rsid w:val="00EE7CF1"/>
    <w:rsid w:val="00EF02D1"/>
    <w:rsid w:val="00EF0D48"/>
    <w:rsid w:val="00EF41BD"/>
    <w:rsid w:val="00EF466A"/>
    <w:rsid w:val="00EF545E"/>
    <w:rsid w:val="00EF71D6"/>
    <w:rsid w:val="00EF7913"/>
    <w:rsid w:val="00F00E64"/>
    <w:rsid w:val="00F041F5"/>
    <w:rsid w:val="00F06414"/>
    <w:rsid w:val="00F11216"/>
    <w:rsid w:val="00F11B47"/>
    <w:rsid w:val="00F14807"/>
    <w:rsid w:val="00F15016"/>
    <w:rsid w:val="00F16930"/>
    <w:rsid w:val="00F2043B"/>
    <w:rsid w:val="00F205B8"/>
    <w:rsid w:val="00F206BB"/>
    <w:rsid w:val="00F211F5"/>
    <w:rsid w:val="00F2153E"/>
    <w:rsid w:val="00F23509"/>
    <w:rsid w:val="00F26A5A"/>
    <w:rsid w:val="00F27726"/>
    <w:rsid w:val="00F27DB2"/>
    <w:rsid w:val="00F329CA"/>
    <w:rsid w:val="00F33524"/>
    <w:rsid w:val="00F33A2D"/>
    <w:rsid w:val="00F341F5"/>
    <w:rsid w:val="00F37D7B"/>
    <w:rsid w:val="00F37F01"/>
    <w:rsid w:val="00F40B65"/>
    <w:rsid w:val="00F41678"/>
    <w:rsid w:val="00F41E00"/>
    <w:rsid w:val="00F4415E"/>
    <w:rsid w:val="00F44346"/>
    <w:rsid w:val="00F464D0"/>
    <w:rsid w:val="00F51930"/>
    <w:rsid w:val="00F51FB2"/>
    <w:rsid w:val="00F56731"/>
    <w:rsid w:val="00F5779D"/>
    <w:rsid w:val="00F57E7C"/>
    <w:rsid w:val="00F6175D"/>
    <w:rsid w:val="00F62936"/>
    <w:rsid w:val="00F65AAA"/>
    <w:rsid w:val="00F65DD2"/>
    <w:rsid w:val="00F70C3C"/>
    <w:rsid w:val="00F71B5C"/>
    <w:rsid w:val="00F71BDA"/>
    <w:rsid w:val="00F7213C"/>
    <w:rsid w:val="00F7550F"/>
    <w:rsid w:val="00F755A7"/>
    <w:rsid w:val="00F75B67"/>
    <w:rsid w:val="00F75BC1"/>
    <w:rsid w:val="00F7789E"/>
    <w:rsid w:val="00F81615"/>
    <w:rsid w:val="00F81C62"/>
    <w:rsid w:val="00F8468E"/>
    <w:rsid w:val="00F84878"/>
    <w:rsid w:val="00F863B0"/>
    <w:rsid w:val="00F9197F"/>
    <w:rsid w:val="00F92173"/>
    <w:rsid w:val="00F92F0E"/>
    <w:rsid w:val="00F9470E"/>
    <w:rsid w:val="00F95E67"/>
    <w:rsid w:val="00F96D49"/>
    <w:rsid w:val="00F97571"/>
    <w:rsid w:val="00FA036C"/>
    <w:rsid w:val="00FA2A4A"/>
    <w:rsid w:val="00FA3257"/>
    <w:rsid w:val="00FA3917"/>
    <w:rsid w:val="00FA3CE3"/>
    <w:rsid w:val="00FA4E0B"/>
    <w:rsid w:val="00FA5A39"/>
    <w:rsid w:val="00FA72BC"/>
    <w:rsid w:val="00FA74B7"/>
    <w:rsid w:val="00FB186B"/>
    <w:rsid w:val="00FB188C"/>
    <w:rsid w:val="00FB18C2"/>
    <w:rsid w:val="00FB1A90"/>
    <w:rsid w:val="00FB2193"/>
    <w:rsid w:val="00FB359E"/>
    <w:rsid w:val="00FB3F8F"/>
    <w:rsid w:val="00FB4E3F"/>
    <w:rsid w:val="00FB589A"/>
    <w:rsid w:val="00FB6980"/>
    <w:rsid w:val="00FB6A37"/>
    <w:rsid w:val="00FB70BF"/>
    <w:rsid w:val="00FB738C"/>
    <w:rsid w:val="00FC12DB"/>
    <w:rsid w:val="00FC2CFE"/>
    <w:rsid w:val="00FC40DA"/>
    <w:rsid w:val="00FC419B"/>
    <w:rsid w:val="00FC7579"/>
    <w:rsid w:val="00FD073E"/>
    <w:rsid w:val="00FD0F4A"/>
    <w:rsid w:val="00FD1FC9"/>
    <w:rsid w:val="00FD263A"/>
    <w:rsid w:val="00FD31B5"/>
    <w:rsid w:val="00FD33F6"/>
    <w:rsid w:val="00FD3445"/>
    <w:rsid w:val="00FD4934"/>
    <w:rsid w:val="00FD4DC1"/>
    <w:rsid w:val="00FD56C9"/>
    <w:rsid w:val="00FD5A99"/>
    <w:rsid w:val="00FD6B0C"/>
    <w:rsid w:val="00FD717C"/>
    <w:rsid w:val="00FE0802"/>
    <w:rsid w:val="00FE16E8"/>
    <w:rsid w:val="00FE1846"/>
    <w:rsid w:val="00FE2F6A"/>
    <w:rsid w:val="00FE2FFA"/>
    <w:rsid w:val="00FE4202"/>
    <w:rsid w:val="00FE48F6"/>
    <w:rsid w:val="00FE7286"/>
    <w:rsid w:val="00FE7430"/>
    <w:rsid w:val="00FE7B16"/>
    <w:rsid w:val="00FF04A5"/>
    <w:rsid w:val="00FF390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1919"/>
  <w15:docId w15:val="{E3C5A5FA-F723-462E-988A-3BC65367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2F"/>
    <w:pPr>
      <w:tabs>
        <w:tab w:val="left" w:pos="0"/>
      </w:tabs>
      <w:spacing w:after="160" w:line="259" w:lineRule="auto"/>
    </w:pPr>
    <w:rPr>
      <w:rFonts w:asciiTheme="minorHAnsi" w:hAnsiTheme="minorHAnsi" w:cstheme="minorBidi"/>
      <w:color w:val="auto"/>
      <w:sz w:val="24"/>
      <w:szCs w:val="24"/>
    </w:rPr>
  </w:style>
  <w:style w:type="paragraph" w:styleId="Heading1">
    <w:name w:val="heading 1"/>
    <w:basedOn w:val="NoSpacing"/>
    <w:next w:val="Normal"/>
    <w:link w:val="Heading1Char"/>
    <w:uiPriority w:val="9"/>
    <w:qFormat/>
    <w:rsid w:val="005F6D2F"/>
    <w:pPr>
      <w:keepNext/>
      <w:spacing w:before="240"/>
      <w:outlineLvl w:val="0"/>
    </w:pPr>
    <w:rPr>
      <w:b/>
      <w:sz w:val="24"/>
      <w:szCs w:val="24"/>
    </w:rPr>
  </w:style>
  <w:style w:type="paragraph" w:styleId="Heading2">
    <w:name w:val="heading 2"/>
    <w:basedOn w:val="Normal"/>
    <w:next w:val="Normal"/>
    <w:link w:val="Heading2Char"/>
    <w:uiPriority w:val="9"/>
    <w:unhideWhenUsed/>
    <w:qFormat/>
    <w:rsid w:val="006A24CB"/>
    <w:pPr>
      <w:keepNext/>
      <w:keepLines/>
      <w:spacing w:before="40" w:after="0"/>
      <w:outlineLvl w:val="1"/>
    </w:pPr>
    <w:rPr>
      <w:rFonts w:asciiTheme="majorHAnsi" w:eastAsiaTheme="majorEastAsia" w:hAnsiTheme="majorHAnsi" w:cstheme="majorBidi"/>
      <w:color w:val="122926" w:themeColor="accent1" w:themeShade="BF"/>
      <w:sz w:val="26"/>
      <w:szCs w:val="26"/>
    </w:rPr>
  </w:style>
  <w:style w:type="paragraph" w:styleId="Heading3">
    <w:name w:val="heading 3"/>
    <w:basedOn w:val="Normal"/>
    <w:next w:val="Normal"/>
    <w:link w:val="Heading3Char"/>
    <w:uiPriority w:val="9"/>
    <w:unhideWhenUsed/>
    <w:qFormat/>
    <w:rsid w:val="006A24CB"/>
    <w:pPr>
      <w:keepNext/>
      <w:keepLines/>
      <w:spacing w:before="40" w:after="0"/>
      <w:outlineLvl w:val="2"/>
    </w:pPr>
    <w:rPr>
      <w:rFonts w:asciiTheme="majorHAnsi" w:eastAsiaTheme="majorEastAsia" w:hAnsiTheme="majorHAnsi" w:cstheme="majorBidi"/>
      <w:color w:val="0C1B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D2F"/>
    <w:rPr>
      <w:b/>
      <w:sz w:val="24"/>
      <w:szCs w:val="24"/>
    </w:rPr>
  </w:style>
  <w:style w:type="paragraph" w:styleId="NoSpacing">
    <w:name w:val="No Spacing"/>
    <w:uiPriority w:val="1"/>
    <w:qFormat/>
    <w:rsid w:val="006A24CB"/>
    <w:pPr>
      <w:spacing w:after="0" w:line="240" w:lineRule="auto"/>
    </w:pPr>
  </w:style>
  <w:style w:type="character" w:customStyle="1" w:styleId="Heading2Char">
    <w:name w:val="Heading 2 Char"/>
    <w:basedOn w:val="DefaultParagraphFont"/>
    <w:link w:val="Heading2"/>
    <w:uiPriority w:val="9"/>
    <w:rsid w:val="006A24CB"/>
    <w:rPr>
      <w:rFonts w:asciiTheme="majorHAnsi" w:eastAsiaTheme="majorEastAsia" w:hAnsiTheme="majorHAnsi" w:cstheme="majorBidi"/>
      <w:color w:val="122926" w:themeColor="accent1" w:themeShade="BF"/>
      <w:sz w:val="26"/>
      <w:szCs w:val="26"/>
    </w:rPr>
  </w:style>
  <w:style w:type="paragraph" w:styleId="FootnoteText">
    <w:name w:val="footnote text"/>
    <w:basedOn w:val="Normal"/>
    <w:link w:val="FootnoteTextChar"/>
    <w:uiPriority w:val="99"/>
    <w:unhideWhenUsed/>
    <w:rsid w:val="006A24CB"/>
    <w:pPr>
      <w:spacing w:after="0" w:line="240" w:lineRule="auto"/>
    </w:pPr>
    <w:rPr>
      <w:sz w:val="20"/>
      <w:szCs w:val="20"/>
    </w:rPr>
  </w:style>
  <w:style w:type="character" w:customStyle="1" w:styleId="FootnoteTextChar">
    <w:name w:val="Footnote Text Char"/>
    <w:basedOn w:val="DefaultParagraphFont"/>
    <w:link w:val="FootnoteText"/>
    <w:uiPriority w:val="99"/>
    <w:rsid w:val="006A24CB"/>
    <w:rPr>
      <w:rFonts w:asciiTheme="minorHAnsi" w:hAnsiTheme="minorHAnsi" w:cstheme="minorBidi"/>
      <w:color w:val="auto"/>
      <w:sz w:val="20"/>
      <w:szCs w:val="20"/>
    </w:rPr>
  </w:style>
  <w:style w:type="character" w:styleId="FootnoteReference">
    <w:name w:val="footnote reference"/>
    <w:basedOn w:val="DefaultParagraphFont"/>
    <w:uiPriority w:val="99"/>
    <w:unhideWhenUsed/>
    <w:rsid w:val="006A24CB"/>
    <w:rPr>
      <w:vertAlign w:val="superscript"/>
    </w:rPr>
  </w:style>
  <w:style w:type="paragraph" w:styleId="Header">
    <w:name w:val="header"/>
    <w:basedOn w:val="Normal"/>
    <w:link w:val="HeaderChar"/>
    <w:uiPriority w:val="99"/>
    <w:unhideWhenUsed/>
    <w:rsid w:val="006A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CB"/>
    <w:rPr>
      <w:rFonts w:asciiTheme="minorHAnsi" w:hAnsiTheme="minorHAnsi" w:cstheme="minorBidi"/>
      <w:color w:val="auto"/>
    </w:rPr>
  </w:style>
  <w:style w:type="paragraph" w:styleId="Footer">
    <w:name w:val="footer"/>
    <w:basedOn w:val="Normal"/>
    <w:link w:val="FooterChar"/>
    <w:uiPriority w:val="99"/>
    <w:unhideWhenUsed/>
    <w:rsid w:val="006A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CB"/>
    <w:rPr>
      <w:rFonts w:asciiTheme="minorHAnsi" w:hAnsiTheme="minorHAnsi" w:cstheme="minorBidi"/>
      <w:color w:val="auto"/>
    </w:rPr>
  </w:style>
  <w:style w:type="table" w:styleId="TableGrid">
    <w:name w:val="Table Grid"/>
    <w:basedOn w:val="TableNormal"/>
    <w:uiPriority w:val="59"/>
    <w:rsid w:val="006A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CB"/>
    <w:rPr>
      <w:rFonts w:ascii="Segoe UI" w:hAnsi="Segoe UI" w:cs="Segoe UI"/>
      <w:color w:val="auto"/>
      <w:sz w:val="18"/>
      <w:szCs w:val="18"/>
    </w:rPr>
  </w:style>
  <w:style w:type="paragraph" w:styleId="EndnoteText">
    <w:name w:val="endnote text"/>
    <w:basedOn w:val="Normal"/>
    <w:link w:val="EndnoteTextChar"/>
    <w:uiPriority w:val="99"/>
    <w:semiHidden/>
    <w:unhideWhenUsed/>
    <w:rsid w:val="006A2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4CB"/>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6A24CB"/>
    <w:rPr>
      <w:vertAlign w:val="superscript"/>
    </w:rPr>
  </w:style>
  <w:style w:type="character" w:styleId="CommentReference">
    <w:name w:val="annotation reference"/>
    <w:basedOn w:val="DefaultParagraphFont"/>
    <w:uiPriority w:val="99"/>
    <w:semiHidden/>
    <w:unhideWhenUsed/>
    <w:rsid w:val="006A24CB"/>
    <w:rPr>
      <w:sz w:val="16"/>
      <w:szCs w:val="16"/>
    </w:rPr>
  </w:style>
  <w:style w:type="paragraph" w:styleId="CommentText">
    <w:name w:val="annotation text"/>
    <w:basedOn w:val="Normal"/>
    <w:link w:val="CommentTextChar"/>
    <w:uiPriority w:val="99"/>
    <w:unhideWhenUsed/>
    <w:rsid w:val="006A24CB"/>
    <w:pPr>
      <w:spacing w:line="240" w:lineRule="auto"/>
    </w:pPr>
    <w:rPr>
      <w:sz w:val="20"/>
      <w:szCs w:val="20"/>
    </w:rPr>
  </w:style>
  <w:style w:type="character" w:customStyle="1" w:styleId="CommentTextChar">
    <w:name w:val="Comment Text Char"/>
    <w:basedOn w:val="DefaultParagraphFont"/>
    <w:link w:val="CommentText"/>
    <w:uiPriority w:val="99"/>
    <w:rsid w:val="006A24CB"/>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6A24CB"/>
    <w:rPr>
      <w:b/>
      <w:bCs/>
    </w:rPr>
  </w:style>
  <w:style w:type="character" w:customStyle="1" w:styleId="CommentSubjectChar">
    <w:name w:val="Comment Subject Char"/>
    <w:basedOn w:val="CommentTextChar"/>
    <w:link w:val="CommentSubject"/>
    <w:uiPriority w:val="99"/>
    <w:semiHidden/>
    <w:rsid w:val="006A24CB"/>
    <w:rPr>
      <w:rFonts w:asciiTheme="minorHAnsi" w:hAnsiTheme="minorHAnsi" w:cstheme="minorBidi"/>
      <w:b/>
      <w:bCs/>
      <w:color w:val="auto"/>
      <w:sz w:val="20"/>
      <w:szCs w:val="20"/>
    </w:rPr>
  </w:style>
  <w:style w:type="paragraph" w:styleId="ListParagraph">
    <w:name w:val="List Paragraph"/>
    <w:basedOn w:val="Normal"/>
    <w:uiPriority w:val="34"/>
    <w:qFormat/>
    <w:rsid w:val="006A24CB"/>
    <w:pPr>
      <w:numPr>
        <w:numId w:val="24"/>
      </w:numPr>
      <w:spacing w:after="120" w:line="276" w:lineRule="auto"/>
      <w:contextualSpacing/>
    </w:pPr>
    <w:rPr>
      <w:rFonts w:ascii="Tw Cen MT" w:hAnsi="Tw Cen MT"/>
      <w:szCs w:val="23"/>
    </w:rPr>
  </w:style>
  <w:style w:type="character" w:customStyle="1" w:styleId="Heading3Char">
    <w:name w:val="Heading 3 Char"/>
    <w:basedOn w:val="DefaultParagraphFont"/>
    <w:link w:val="Heading3"/>
    <w:uiPriority w:val="9"/>
    <w:rsid w:val="006A24CB"/>
    <w:rPr>
      <w:rFonts w:asciiTheme="majorHAnsi" w:eastAsiaTheme="majorEastAsia" w:hAnsiTheme="majorHAnsi" w:cstheme="majorBidi"/>
      <w:color w:val="0C1B19" w:themeColor="accent1" w:themeShade="7F"/>
      <w:sz w:val="24"/>
      <w:szCs w:val="24"/>
    </w:rPr>
  </w:style>
  <w:style w:type="character" w:styleId="Hyperlink">
    <w:name w:val="Hyperlink"/>
    <w:basedOn w:val="DefaultParagraphFont"/>
    <w:uiPriority w:val="99"/>
    <w:unhideWhenUsed/>
    <w:rsid w:val="006A24CB"/>
    <w:rPr>
      <w:color w:val="A5B818" w:themeColor="hyperlink"/>
      <w:u w:val="single"/>
    </w:rPr>
  </w:style>
  <w:style w:type="paragraph" w:styleId="Title">
    <w:name w:val="Title"/>
    <w:aliases w:val="Title 1: PRP/Report Name"/>
    <w:basedOn w:val="Normal"/>
    <w:next w:val="Normal"/>
    <w:link w:val="TitleChar"/>
    <w:uiPriority w:val="10"/>
    <w:qFormat/>
    <w:rsid w:val="006A24CB"/>
    <w:pPr>
      <w:spacing w:after="0" w:line="240" w:lineRule="auto"/>
      <w:contextualSpacing/>
    </w:pPr>
    <w:rPr>
      <w:rFonts w:ascii="Tw Cen MT" w:eastAsiaTheme="majorEastAsia" w:hAnsi="Tw Cen MT" w:cstheme="majorBidi"/>
      <w:b/>
      <w:spacing w:val="-10"/>
      <w:kern w:val="28"/>
      <w:sz w:val="28"/>
      <w:szCs w:val="28"/>
    </w:rPr>
  </w:style>
  <w:style w:type="character" w:customStyle="1" w:styleId="TitleChar">
    <w:name w:val="Title Char"/>
    <w:aliases w:val="Title 1: PRP/Report Name Char"/>
    <w:basedOn w:val="DefaultParagraphFont"/>
    <w:link w:val="Title"/>
    <w:uiPriority w:val="10"/>
    <w:rsid w:val="006A24CB"/>
    <w:rPr>
      <w:rFonts w:eastAsiaTheme="majorEastAsia" w:cstheme="majorBidi"/>
      <w:b/>
      <w:color w:val="auto"/>
      <w:spacing w:val="-10"/>
      <w:kern w:val="28"/>
      <w:sz w:val="28"/>
      <w:szCs w:val="28"/>
    </w:rPr>
  </w:style>
  <w:style w:type="paragraph" w:styleId="Subtitle">
    <w:name w:val="Subtitle"/>
    <w:basedOn w:val="Normal"/>
    <w:next w:val="Normal"/>
    <w:link w:val="SubtitleChar"/>
    <w:uiPriority w:val="11"/>
    <w:qFormat/>
    <w:rsid w:val="006A24CB"/>
    <w:pPr>
      <w:numPr>
        <w:ilvl w:val="1"/>
      </w:numPr>
    </w:pPr>
    <w:rPr>
      <w:rFonts w:eastAsiaTheme="minorEastAsia"/>
      <w:color w:val="6C6C6C" w:themeColor="text1" w:themeTint="A5"/>
      <w:spacing w:val="15"/>
    </w:rPr>
  </w:style>
  <w:style w:type="character" w:customStyle="1" w:styleId="SubtitleChar">
    <w:name w:val="Subtitle Char"/>
    <w:basedOn w:val="DefaultParagraphFont"/>
    <w:link w:val="Subtitle"/>
    <w:uiPriority w:val="11"/>
    <w:rsid w:val="006A24CB"/>
    <w:rPr>
      <w:rFonts w:asciiTheme="minorHAnsi" w:eastAsiaTheme="minorEastAsia" w:hAnsiTheme="minorHAnsi" w:cstheme="minorBidi"/>
      <w:color w:val="6C6C6C" w:themeColor="text1" w:themeTint="A5"/>
      <w:spacing w:val="15"/>
    </w:rPr>
  </w:style>
  <w:style w:type="paragraph" w:styleId="Quote">
    <w:name w:val="Quote"/>
    <w:basedOn w:val="Normal"/>
    <w:next w:val="Normal"/>
    <w:link w:val="QuoteChar"/>
    <w:uiPriority w:val="29"/>
    <w:qFormat/>
    <w:rsid w:val="006A24CB"/>
    <w:rPr>
      <w:i/>
      <w:iCs/>
      <w:color w:val="1C1C1C" w:themeColor="text1"/>
    </w:rPr>
  </w:style>
  <w:style w:type="character" w:customStyle="1" w:styleId="QuoteChar">
    <w:name w:val="Quote Char"/>
    <w:basedOn w:val="DefaultParagraphFont"/>
    <w:link w:val="Quote"/>
    <w:uiPriority w:val="29"/>
    <w:rsid w:val="006A24CB"/>
    <w:rPr>
      <w:rFonts w:asciiTheme="minorHAnsi" w:hAnsiTheme="minorHAnsi" w:cstheme="minorBidi"/>
      <w:i/>
      <w:iCs/>
      <w:color w:val="1C1C1C" w:themeColor="text1"/>
      <w:sz w:val="24"/>
      <w:szCs w:val="24"/>
    </w:rPr>
  </w:style>
  <w:style w:type="character" w:customStyle="1" w:styleId="titleb">
    <w:name w:val="titleb"/>
    <w:basedOn w:val="DefaultParagraphFont"/>
    <w:rsid w:val="006A24CB"/>
  </w:style>
  <w:style w:type="table" w:styleId="ColorfulList-Accent5">
    <w:name w:val="Colorful List Accent 5"/>
    <w:basedOn w:val="TableNormal"/>
    <w:uiPriority w:val="72"/>
    <w:rsid w:val="006A24CB"/>
    <w:pPr>
      <w:spacing w:after="0" w:line="240" w:lineRule="auto"/>
    </w:pPr>
    <w:rPr>
      <w:rFonts w:cstheme="minorBidi"/>
      <w:color w:val="1C1C1C" w:themeColor="text1"/>
      <w:sz w:val="24"/>
      <w:szCs w:val="24"/>
    </w:rPr>
    <w:tblPr>
      <w:tblStyleRowBandSize w:val="1"/>
      <w:tblStyleColBandSize w:val="1"/>
    </w:tblPr>
    <w:tcPr>
      <w:shd w:val="clear" w:color="auto" w:fill="F6F6F6" w:themeFill="accent5" w:themeFillTint="19"/>
    </w:tcPr>
    <w:tblStylePr w:type="firstRow">
      <w:rPr>
        <w:b/>
        <w:bCs/>
        <w:color w:val="FFFFFF" w:themeColor="background1"/>
      </w:rPr>
      <w:tblPr/>
      <w:tcPr>
        <w:tcBorders>
          <w:bottom w:val="single" w:sz="12" w:space="0" w:color="FFFFFF" w:themeColor="background1"/>
        </w:tcBorders>
        <w:shd w:val="clear" w:color="auto" w:fill="D1E53D" w:themeFill="accent6" w:themeFillShade="CC"/>
      </w:tcPr>
    </w:tblStylePr>
    <w:tblStylePr w:type="lastRow">
      <w:rPr>
        <w:b/>
        <w:bCs/>
        <w:color w:val="D1E53D" w:themeColor="accent6"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paragraph" w:styleId="Revision">
    <w:name w:val="Revision"/>
    <w:hidden/>
    <w:uiPriority w:val="99"/>
    <w:semiHidden/>
    <w:rsid w:val="00E109CC"/>
    <w:pPr>
      <w:spacing w:after="0" w:line="240" w:lineRule="auto"/>
    </w:pPr>
  </w:style>
  <w:style w:type="paragraph" w:styleId="NormalWeb">
    <w:name w:val="Normal (Web)"/>
    <w:basedOn w:val="Normal"/>
    <w:uiPriority w:val="99"/>
    <w:semiHidden/>
    <w:unhideWhenUsed/>
    <w:rsid w:val="006A24CB"/>
    <w:pPr>
      <w:spacing w:before="100" w:beforeAutospacing="1" w:after="100" w:afterAutospacing="1" w:line="240" w:lineRule="auto"/>
    </w:pPr>
    <w:rPr>
      <w:rFonts w:ascii="Times New Roman" w:eastAsia="Times New Roman" w:hAnsi="Times New Roman"/>
    </w:rPr>
  </w:style>
  <w:style w:type="table" w:customStyle="1" w:styleId="ListTable4-Accent11">
    <w:name w:val="List Table 4 - Accent 11"/>
    <w:basedOn w:val="TableNormal"/>
    <w:uiPriority w:val="49"/>
    <w:rsid w:val="006A24CB"/>
    <w:pPr>
      <w:spacing w:after="0" w:line="240" w:lineRule="auto"/>
    </w:pPr>
    <w:tblPr>
      <w:tblStyleRowBandSize w:val="1"/>
      <w:tblStyleColBandSize w:val="1"/>
      <w:tblBorders>
        <w:top w:val="single" w:sz="4" w:space="0" w:color="4EAE9E" w:themeColor="accent1" w:themeTint="99"/>
        <w:left w:val="single" w:sz="4" w:space="0" w:color="4EAE9E" w:themeColor="accent1" w:themeTint="99"/>
        <w:bottom w:val="single" w:sz="4" w:space="0" w:color="4EAE9E" w:themeColor="accent1" w:themeTint="99"/>
        <w:right w:val="single" w:sz="4" w:space="0" w:color="4EAE9E" w:themeColor="accent1" w:themeTint="99"/>
        <w:insideH w:val="single" w:sz="4" w:space="0" w:color="4EAE9E" w:themeColor="accent1" w:themeTint="99"/>
      </w:tblBorders>
    </w:tblPr>
    <w:tblStylePr w:type="firstRow">
      <w:rPr>
        <w:b/>
        <w:bCs/>
        <w:color w:val="FFFFFF" w:themeColor="background1"/>
      </w:rPr>
      <w:tblPr/>
      <w:tcPr>
        <w:tcBorders>
          <w:top w:val="single" w:sz="4" w:space="0" w:color="193833" w:themeColor="accent1"/>
          <w:left w:val="single" w:sz="4" w:space="0" w:color="193833" w:themeColor="accent1"/>
          <w:bottom w:val="single" w:sz="4" w:space="0" w:color="193833" w:themeColor="accent1"/>
          <w:right w:val="single" w:sz="4" w:space="0" w:color="193833" w:themeColor="accent1"/>
          <w:insideH w:val="nil"/>
        </w:tcBorders>
        <w:shd w:val="clear" w:color="auto" w:fill="193833" w:themeFill="accent1"/>
      </w:tcPr>
    </w:tblStylePr>
    <w:tblStylePr w:type="lastRow">
      <w:rPr>
        <w:b/>
        <w:bCs/>
      </w:rPr>
      <w:tblPr/>
      <w:tcPr>
        <w:tcBorders>
          <w:top w:val="double" w:sz="4" w:space="0" w:color="4EAE9E" w:themeColor="accent1" w:themeTint="99"/>
        </w:tcBorders>
      </w:tcPr>
    </w:tblStylePr>
    <w:tblStylePr w:type="firstCol">
      <w:rPr>
        <w:b/>
        <w:bCs/>
      </w:rPr>
    </w:tblStylePr>
    <w:tblStylePr w:type="lastCol">
      <w:rPr>
        <w:b/>
        <w:bCs/>
      </w:rPr>
    </w:tblStylePr>
    <w:tblStylePr w:type="band1Vert">
      <w:tblPr/>
      <w:tcPr>
        <w:shd w:val="clear" w:color="auto" w:fill="C3E4DF" w:themeFill="accent1" w:themeFillTint="33"/>
      </w:tcPr>
    </w:tblStylePr>
    <w:tblStylePr w:type="band1Horz">
      <w:tblPr/>
      <w:tcPr>
        <w:shd w:val="clear" w:color="auto" w:fill="C3E4DF" w:themeFill="accent1" w:themeFillTint="33"/>
      </w:tcPr>
    </w:tblStylePr>
  </w:style>
  <w:style w:type="table" w:customStyle="1" w:styleId="ListTable6Colorful-Accent51">
    <w:name w:val="List Table 6 Colorful - Accent 51"/>
    <w:basedOn w:val="TableNormal"/>
    <w:uiPriority w:val="51"/>
    <w:rsid w:val="006A24CB"/>
    <w:pPr>
      <w:spacing w:after="0" w:line="240" w:lineRule="auto"/>
    </w:pPr>
    <w:rPr>
      <w:color w:val="7E7E7E" w:themeColor="accent5" w:themeShade="BF"/>
    </w:rPr>
    <w:tblPr>
      <w:tblStyleRowBandSize w:val="1"/>
      <w:tblStyleColBandSize w:val="1"/>
      <w:tblBorders>
        <w:top w:val="single" w:sz="4" w:space="0" w:color="A9A9A9" w:themeColor="accent5"/>
        <w:bottom w:val="single" w:sz="4" w:space="0" w:color="A9A9A9" w:themeColor="accent5"/>
      </w:tblBorders>
    </w:tblPr>
    <w:tblStylePr w:type="firstRow">
      <w:rPr>
        <w:b/>
        <w:bCs/>
      </w:rPr>
      <w:tblPr/>
      <w:tcPr>
        <w:tcBorders>
          <w:bottom w:val="single" w:sz="4" w:space="0" w:color="A9A9A9" w:themeColor="accent5"/>
        </w:tcBorders>
      </w:tcPr>
    </w:tblStylePr>
    <w:tblStylePr w:type="lastRow">
      <w:rPr>
        <w:b/>
        <w:bCs/>
      </w:rPr>
      <w:tblPr/>
      <w:tcPr>
        <w:tcBorders>
          <w:top w:val="double" w:sz="4" w:space="0" w:color="A9A9A9" w:themeColor="accent5"/>
        </w:tcBorders>
      </w:tcPr>
    </w:tblStylePr>
    <w:tblStylePr w:type="firstCol">
      <w:rPr>
        <w:b/>
        <w:bCs/>
      </w:rPr>
    </w:tblStylePr>
    <w:tblStylePr w:type="lastCol">
      <w:rPr>
        <w:b/>
        <w:bCs/>
      </w:rPr>
    </w:tblStylePr>
    <w:tblStylePr w:type="band1Vert">
      <w:tblPr/>
      <w:tcPr>
        <w:shd w:val="clear" w:color="auto" w:fill="EDEDED" w:themeFill="accent5" w:themeFillTint="33"/>
      </w:tcPr>
    </w:tblStylePr>
    <w:tblStylePr w:type="band1Horz">
      <w:tblPr/>
      <w:tcPr>
        <w:shd w:val="clear" w:color="auto" w:fill="EDEDED" w:themeFill="accent5" w:themeFillTint="33"/>
      </w:tcPr>
    </w:tblStylePr>
  </w:style>
  <w:style w:type="character" w:styleId="FollowedHyperlink">
    <w:name w:val="FollowedHyperlink"/>
    <w:basedOn w:val="DefaultParagraphFont"/>
    <w:uiPriority w:val="99"/>
    <w:semiHidden/>
    <w:unhideWhenUsed/>
    <w:rsid w:val="006A24CB"/>
    <w:rPr>
      <w:color w:val="A8B818" w:themeColor="followedHyperlink"/>
      <w:u w:val="single"/>
    </w:rPr>
  </w:style>
  <w:style w:type="paragraph" w:customStyle="1" w:styleId="Header1">
    <w:name w:val="Header 1"/>
    <w:basedOn w:val="Title"/>
    <w:qFormat/>
    <w:rsid w:val="006A24CB"/>
    <w:pPr>
      <w:widowControl w:val="0"/>
    </w:pPr>
    <w:rPr>
      <w:b w:val="0"/>
    </w:rPr>
  </w:style>
  <w:style w:type="paragraph" w:customStyle="1" w:styleId="TableHeading">
    <w:name w:val="Table Heading"/>
    <w:basedOn w:val="Normal"/>
    <w:qFormat/>
    <w:rsid w:val="005F6D2F"/>
    <w:pPr>
      <w:keepNext/>
      <w:spacing w:before="240" w:after="0"/>
      <w:jc w:val="center"/>
    </w:pPr>
    <w:rPr>
      <w:rFonts w:asciiTheme="majorHAnsi" w:hAnsiTheme="majorHAnsi"/>
      <w:b/>
      <w:szCs w:val="26"/>
    </w:rPr>
  </w:style>
  <w:style w:type="paragraph" w:customStyle="1" w:styleId="TableColumnTitles">
    <w:name w:val="Table Column Titles"/>
    <w:basedOn w:val="TableHeading"/>
    <w:qFormat/>
    <w:rsid w:val="007D52C0"/>
    <w:pPr>
      <w:spacing w:before="0" w:line="240" w:lineRule="auto"/>
    </w:pPr>
  </w:style>
  <w:style w:type="paragraph" w:customStyle="1" w:styleId="Title2-ProgramName">
    <w:name w:val="Title 2 - Program Name"/>
    <w:basedOn w:val="NoSpacing"/>
    <w:qFormat/>
    <w:rsid w:val="006A24CB"/>
    <w:rPr>
      <w:b/>
      <w:i/>
      <w:sz w:val="28"/>
      <w:szCs w:val="28"/>
    </w:rPr>
  </w:style>
  <w:style w:type="paragraph" w:customStyle="1" w:styleId="Title3COE">
    <w:name w:val="Title 3: COE"/>
    <w:basedOn w:val="Normal"/>
    <w:qFormat/>
    <w:rsid w:val="006A24CB"/>
    <w:pPr>
      <w:widowControl w:val="0"/>
      <w:pBdr>
        <w:bottom w:val="single" w:sz="4" w:space="1" w:color="auto"/>
      </w:pBdr>
      <w:spacing w:after="240" w:line="240" w:lineRule="auto"/>
    </w:pPr>
    <w:rPr>
      <w:rFonts w:ascii="Tw Cen MT" w:eastAsia="Tw Cen MT" w:hAnsi="Tw Cen MT" w:cs="Times New Roman"/>
      <w:color w:val="2655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7083479">
      <w:bodyDiv w:val="1"/>
      <w:marLeft w:val="0"/>
      <w:marRight w:val="0"/>
      <w:marTop w:val="0"/>
      <w:marBottom w:val="0"/>
      <w:divBdr>
        <w:top w:val="none" w:sz="0" w:space="0" w:color="auto"/>
        <w:left w:val="none" w:sz="0" w:space="0" w:color="auto"/>
        <w:bottom w:val="none" w:sz="0" w:space="0" w:color="auto"/>
        <w:right w:val="none" w:sz="0" w:space="0" w:color="auto"/>
      </w:divBdr>
    </w:div>
    <w:div w:id="235896712">
      <w:bodyDiv w:val="1"/>
      <w:marLeft w:val="0"/>
      <w:marRight w:val="0"/>
      <w:marTop w:val="0"/>
      <w:marBottom w:val="0"/>
      <w:divBdr>
        <w:top w:val="none" w:sz="0" w:space="0" w:color="auto"/>
        <w:left w:val="none" w:sz="0" w:space="0" w:color="auto"/>
        <w:bottom w:val="none" w:sz="0" w:space="0" w:color="auto"/>
        <w:right w:val="none" w:sz="0" w:space="0" w:color="auto"/>
      </w:divBdr>
    </w:div>
    <w:div w:id="244460989">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45402811">
      <w:bodyDiv w:val="1"/>
      <w:marLeft w:val="0"/>
      <w:marRight w:val="0"/>
      <w:marTop w:val="0"/>
      <w:marBottom w:val="0"/>
      <w:divBdr>
        <w:top w:val="none" w:sz="0" w:space="0" w:color="auto"/>
        <w:left w:val="none" w:sz="0" w:space="0" w:color="auto"/>
        <w:bottom w:val="none" w:sz="0" w:space="0" w:color="auto"/>
        <w:right w:val="none" w:sz="0" w:space="0" w:color="auto"/>
      </w:divBdr>
    </w:div>
    <w:div w:id="520512308">
      <w:bodyDiv w:val="1"/>
      <w:marLeft w:val="0"/>
      <w:marRight w:val="0"/>
      <w:marTop w:val="0"/>
      <w:marBottom w:val="0"/>
      <w:divBdr>
        <w:top w:val="none" w:sz="0" w:space="0" w:color="auto"/>
        <w:left w:val="none" w:sz="0" w:space="0" w:color="auto"/>
        <w:bottom w:val="none" w:sz="0" w:space="0" w:color="auto"/>
        <w:right w:val="none" w:sz="0" w:space="0" w:color="auto"/>
      </w:divBdr>
    </w:div>
    <w:div w:id="528907898">
      <w:bodyDiv w:val="1"/>
      <w:marLeft w:val="0"/>
      <w:marRight w:val="0"/>
      <w:marTop w:val="0"/>
      <w:marBottom w:val="0"/>
      <w:divBdr>
        <w:top w:val="none" w:sz="0" w:space="0" w:color="auto"/>
        <w:left w:val="none" w:sz="0" w:space="0" w:color="auto"/>
        <w:bottom w:val="none" w:sz="0" w:space="0" w:color="auto"/>
        <w:right w:val="none" w:sz="0" w:space="0" w:color="auto"/>
      </w:divBdr>
    </w:div>
    <w:div w:id="531191872">
      <w:bodyDiv w:val="1"/>
      <w:marLeft w:val="0"/>
      <w:marRight w:val="0"/>
      <w:marTop w:val="0"/>
      <w:marBottom w:val="0"/>
      <w:divBdr>
        <w:top w:val="none" w:sz="0" w:space="0" w:color="auto"/>
        <w:left w:val="none" w:sz="0" w:space="0" w:color="auto"/>
        <w:bottom w:val="none" w:sz="0" w:space="0" w:color="auto"/>
        <w:right w:val="none" w:sz="0" w:space="0" w:color="auto"/>
      </w:divBdr>
    </w:div>
    <w:div w:id="796801682">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08464456">
      <w:bodyDiv w:val="1"/>
      <w:marLeft w:val="0"/>
      <w:marRight w:val="0"/>
      <w:marTop w:val="0"/>
      <w:marBottom w:val="0"/>
      <w:divBdr>
        <w:top w:val="none" w:sz="0" w:space="0" w:color="auto"/>
        <w:left w:val="none" w:sz="0" w:space="0" w:color="auto"/>
        <w:bottom w:val="none" w:sz="0" w:space="0" w:color="auto"/>
        <w:right w:val="none" w:sz="0" w:space="0" w:color="auto"/>
      </w:divBdr>
    </w:div>
    <w:div w:id="999622015">
      <w:bodyDiv w:val="1"/>
      <w:marLeft w:val="0"/>
      <w:marRight w:val="0"/>
      <w:marTop w:val="0"/>
      <w:marBottom w:val="0"/>
      <w:divBdr>
        <w:top w:val="none" w:sz="0" w:space="0" w:color="auto"/>
        <w:left w:val="none" w:sz="0" w:space="0" w:color="auto"/>
        <w:bottom w:val="none" w:sz="0" w:space="0" w:color="auto"/>
        <w:right w:val="none" w:sz="0" w:space="0" w:color="auto"/>
      </w:divBdr>
    </w:div>
    <w:div w:id="1174683707">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311710552">
      <w:bodyDiv w:val="1"/>
      <w:marLeft w:val="0"/>
      <w:marRight w:val="0"/>
      <w:marTop w:val="0"/>
      <w:marBottom w:val="0"/>
      <w:divBdr>
        <w:top w:val="none" w:sz="0" w:space="0" w:color="auto"/>
        <w:left w:val="none" w:sz="0" w:space="0" w:color="auto"/>
        <w:bottom w:val="none" w:sz="0" w:space="0" w:color="auto"/>
        <w:right w:val="none" w:sz="0" w:space="0" w:color="auto"/>
      </w:divBdr>
    </w:div>
    <w:div w:id="1447113707">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0405030">
      <w:bodyDiv w:val="1"/>
      <w:marLeft w:val="0"/>
      <w:marRight w:val="0"/>
      <w:marTop w:val="0"/>
      <w:marBottom w:val="0"/>
      <w:divBdr>
        <w:top w:val="none" w:sz="0" w:space="0" w:color="auto"/>
        <w:left w:val="none" w:sz="0" w:space="0" w:color="auto"/>
        <w:bottom w:val="none" w:sz="0" w:space="0" w:color="auto"/>
        <w:right w:val="none" w:sz="0" w:space="0" w:color="auto"/>
      </w:divBdr>
    </w:div>
    <w:div w:id="1605721578">
      <w:bodyDiv w:val="1"/>
      <w:marLeft w:val="0"/>
      <w:marRight w:val="0"/>
      <w:marTop w:val="0"/>
      <w:marBottom w:val="0"/>
      <w:divBdr>
        <w:top w:val="none" w:sz="0" w:space="0" w:color="auto"/>
        <w:left w:val="none" w:sz="0" w:space="0" w:color="auto"/>
        <w:bottom w:val="none" w:sz="0" w:space="0" w:color="auto"/>
        <w:right w:val="none" w:sz="0" w:space="0" w:color="auto"/>
      </w:divBdr>
    </w:div>
    <w:div w:id="165583300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30299594">
      <w:bodyDiv w:val="1"/>
      <w:marLeft w:val="0"/>
      <w:marRight w:val="0"/>
      <w:marTop w:val="0"/>
      <w:marBottom w:val="0"/>
      <w:divBdr>
        <w:top w:val="none" w:sz="0" w:space="0" w:color="auto"/>
        <w:left w:val="none" w:sz="0" w:space="0" w:color="auto"/>
        <w:bottom w:val="none" w:sz="0" w:space="0" w:color="auto"/>
        <w:right w:val="none" w:sz="0" w:space="0" w:color="auto"/>
      </w:divBdr>
    </w:div>
    <w:div w:id="173666248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09144526">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90748034">
      <w:bodyDiv w:val="1"/>
      <w:marLeft w:val="0"/>
      <w:marRight w:val="0"/>
      <w:marTop w:val="0"/>
      <w:marBottom w:val="0"/>
      <w:divBdr>
        <w:top w:val="none" w:sz="0" w:space="0" w:color="auto"/>
        <w:left w:val="none" w:sz="0" w:space="0" w:color="auto"/>
        <w:bottom w:val="none" w:sz="0" w:space="0" w:color="auto"/>
        <w:right w:val="none" w:sz="0" w:space="0" w:color="auto"/>
      </w:divBdr>
    </w:div>
    <w:div w:id="20119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18" Type="http://schemas.openxmlformats.org/officeDocument/2006/relationships/hyperlink" Target="https://nces.ed.gov/ipeds/cipcode/cipdetail.aspx?y=55&amp;cipid=8767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vid19.ca.gov/state-dashboard/"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ailto:lmeyer7@mtsac.ed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interactive/2021/us/covid-case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hyperlink" Target="https://covid19.who.int/" TargetMode="Externa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2.xml"/><Relationship Id="rId22" Type="http://schemas.openxmlformats.org/officeDocument/2006/relationships/footer" Target="footer2.xml"/><Relationship Id="rId27" Type="http://schemas.openxmlformats.org/officeDocument/2006/relationships/theme" Target="theme/theme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burning-glass.com" TargetMode="External"/><Relationship Id="rId2" Type="http://schemas.openxmlformats.org/officeDocument/2006/relationships/hyperlink" Target="https://www.healthit.gov/topic/onc-funding-opportunities/public-health-informatics-technology-phit-workforce-development" TargetMode="External"/><Relationship Id="rId1" Type="http://schemas.openxmlformats.org/officeDocument/2006/relationships/hyperlink" Target="http://www.healthi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meyer7\Downloads\Custom%20Report%20(10%20selected)%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meyer7\Downloads\Custom%20Report%20(10%20selected)%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meyer7\Downloads\Custom%20Report%20(10%20selected)%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meyer7\Downloads\Custom%20Report%20(8%20selected)%20(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meyer7\Downloads\Custom%20Report%20(10%20selected)%2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ap="rnd">
              <a:solidFill>
                <a:schemeClr val="accent3">
                  <a:lumMod val="60000"/>
                  <a:lumOff val="40000"/>
                </a:schemeClr>
              </a:solidFill>
              <a:round/>
            </a:ln>
            <a:effectLst/>
          </c:spPr>
          <c:marker>
            <c:symbol val="circle"/>
            <c:size val="5"/>
            <c:spPr>
              <a:solidFill>
                <a:schemeClr val="tx1"/>
              </a:solidFill>
              <a:ln w="349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Report9_Data!$A$15:$A$25</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Report9_Data!$B$15:$B$25</c:f>
              <c:numCache>
                <c:formatCode>#,##0</c:formatCode>
                <c:ptCount val="11"/>
                <c:pt idx="0">
                  <c:v>41</c:v>
                </c:pt>
                <c:pt idx="1">
                  <c:v>28</c:v>
                </c:pt>
                <c:pt idx="2">
                  <c:v>10</c:v>
                </c:pt>
                <c:pt idx="3">
                  <c:v>55</c:v>
                </c:pt>
                <c:pt idx="4">
                  <c:v>44</c:v>
                </c:pt>
                <c:pt idx="5">
                  <c:v>41</c:v>
                </c:pt>
                <c:pt idx="6">
                  <c:v>70</c:v>
                </c:pt>
                <c:pt idx="7">
                  <c:v>75</c:v>
                </c:pt>
                <c:pt idx="8">
                  <c:v>94</c:v>
                </c:pt>
                <c:pt idx="9">
                  <c:v>90</c:v>
                </c:pt>
                <c:pt idx="10" formatCode="General">
                  <c:v>88</c:v>
                </c:pt>
              </c:numCache>
            </c:numRef>
          </c:val>
          <c:smooth val="0"/>
          <c:extLst>
            <c:ext xmlns:c16="http://schemas.microsoft.com/office/drawing/2014/chart" uri="{C3380CC4-5D6E-409C-BE32-E72D297353CC}">
              <c16:uniqueId val="{00000000-9297-40A6-AC1A-144956AA1737}"/>
            </c:ext>
          </c:extLst>
        </c:ser>
        <c:dLbls>
          <c:dLblPos val="t"/>
          <c:showLegendKey val="0"/>
          <c:showVal val="1"/>
          <c:showCatName val="0"/>
          <c:showSerName val="0"/>
          <c:showPercent val="0"/>
          <c:showBubbleSize val="0"/>
        </c:dLbls>
        <c:marker val="1"/>
        <c:smooth val="0"/>
        <c:axId val="678902440"/>
        <c:axId val="582456080"/>
      </c:lineChart>
      <c:catAx>
        <c:axId val="67890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82456080"/>
        <c:crosses val="autoZero"/>
        <c:auto val="1"/>
        <c:lblAlgn val="ctr"/>
        <c:lblOffset val="100"/>
        <c:noMultiLvlLbl val="0"/>
      </c:catAx>
      <c:valAx>
        <c:axId val="582456080"/>
        <c:scaling>
          <c:orientation val="minMax"/>
        </c:scaling>
        <c:delete val="1"/>
        <c:axPos val="l"/>
        <c:numFmt formatCode="#,##0" sourceLinked="1"/>
        <c:majorTickMark val="none"/>
        <c:minorTickMark val="none"/>
        <c:tickLblPos val="nextTo"/>
        <c:crossAx val="678902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3">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Report4_Data!$F$2:$F$10</c:f>
              <c:strCache>
                <c:ptCount val="9"/>
                <c:pt idx="0">
                  <c:v>Los Angeles, CA</c:v>
                </c:pt>
                <c:pt idx="1">
                  <c:v>Orange, CA</c:v>
                </c:pt>
                <c:pt idx="2">
                  <c:v>San Diego, CA</c:v>
                </c:pt>
                <c:pt idx="3">
                  <c:v>Sacramento, CA</c:v>
                </c:pt>
                <c:pt idx="4">
                  <c:v>San Francisco, CA</c:v>
                </c:pt>
                <c:pt idx="5">
                  <c:v>San Bernardino, CA</c:v>
                </c:pt>
                <c:pt idx="6">
                  <c:v>Contra Costa, CA</c:v>
                </c:pt>
                <c:pt idx="7">
                  <c:v>Alameda, CA</c:v>
                </c:pt>
                <c:pt idx="8">
                  <c:v>Other counties</c:v>
                </c:pt>
              </c:strCache>
            </c:strRef>
          </c:cat>
          <c:val>
            <c:numRef>
              <c:f>Report4_Data!$G$2:$G$10</c:f>
              <c:numCache>
                <c:formatCode>#,##0</c:formatCode>
                <c:ptCount val="9"/>
                <c:pt idx="0">
                  <c:v>50</c:v>
                </c:pt>
                <c:pt idx="1">
                  <c:v>17</c:v>
                </c:pt>
                <c:pt idx="2">
                  <c:v>9</c:v>
                </c:pt>
                <c:pt idx="3">
                  <c:v>9</c:v>
                </c:pt>
                <c:pt idx="4">
                  <c:v>7</c:v>
                </c:pt>
                <c:pt idx="5">
                  <c:v>6</c:v>
                </c:pt>
                <c:pt idx="6">
                  <c:v>4</c:v>
                </c:pt>
                <c:pt idx="7">
                  <c:v>4</c:v>
                </c:pt>
                <c:pt idx="8" formatCode="General">
                  <c:v>24</c:v>
                </c:pt>
              </c:numCache>
            </c:numRef>
          </c:val>
          <c:extLst>
            <c:ext xmlns:c16="http://schemas.microsoft.com/office/drawing/2014/chart" uri="{C3380CC4-5D6E-409C-BE32-E72D297353CC}">
              <c16:uniqueId val="{00000000-211E-4C0D-B37E-3964B9DE0EFA}"/>
            </c:ext>
          </c:extLst>
        </c:ser>
        <c:dLbls>
          <c:dLblPos val="inEnd"/>
          <c:showLegendKey val="0"/>
          <c:showVal val="1"/>
          <c:showCatName val="0"/>
          <c:showSerName val="0"/>
          <c:showPercent val="0"/>
          <c:showBubbleSize val="0"/>
        </c:dLbls>
        <c:gapWidth val="50"/>
        <c:axId val="498318912"/>
        <c:axId val="498315632"/>
      </c:barChart>
      <c:catAx>
        <c:axId val="498318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8315632"/>
        <c:crosses val="autoZero"/>
        <c:auto val="1"/>
        <c:lblAlgn val="ctr"/>
        <c:lblOffset val="100"/>
        <c:noMultiLvlLbl val="0"/>
      </c:catAx>
      <c:valAx>
        <c:axId val="498315632"/>
        <c:scaling>
          <c:orientation val="minMax"/>
        </c:scaling>
        <c:delete val="1"/>
        <c:axPos val="t"/>
        <c:numFmt formatCode="#,##0" sourceLinked="1"/>
        <c:majorTickMark val="none"/>
        <c:minorTickMark val="none"/>
        <c:tickLblPos val="nextTo"/>
        <c:crossAx val="498318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2">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Report1_Data!$A$2:$A$4</c:f>
              <c:strCache>
                <c:ptCount val="3"/>
                <c:pt idx="0">
                  <c:v>High school or vocational training</c:v>
                </c:pt>
                <c:pt idx="1">
                  <c:v>Associate degree</c:v>
                </c:pt>
                <c:pt idx="2">
                  <c:v>Bachelor's degree</c:v>
                </c:pt>
              </c:strCache>
            </c:strRef>
          </c:cat>
          <c:val>
            <c:numRef>
              <c:f>Report1_Data!$B$2:$B$4</c:f>
              <c:numCache>
                <c:formatCode>#,##0</c:formatCode>
                <c:ptCount val="3"/>
                <c:pt idx="0">
                  <c:v>9</c:v>
                </c:pt>
                <c:pt idx="1">
                  <c:v>9</c:v>
                </c:pt>
                <c:pt idx="2">
                  <c:v>95</c:v>
                </c:pt>
              </c:numCache>
            </c:numRef>
          </c:val>
          <c:extLst>
            <c:ext xmlns:c16="http://schemas.microsoft.com/office/drawing/2014/chart" uri="{C3380CC4-5D6E-409C-BE32-E72D297353CC}">
              <c16:uniqueId val="{00000000-833F-4535-9695-15407A69350E}"/>
            </c:ext>
          </c:extLst>
        </c:ser>
        <c:dLbls>
          <c:showLegendKey val="0"/>
          <c:showVal val="0"/>
          <c:showCatName val="0"/>
          <c:showSerName val="0"/>
          <c:showPercent val="0"/>
          <c:showBubbleSize val="0"/>
        </c:dLbls>
        <c:gapWidth val="100"/>
        <c:axId val="584915064"/>
        <c:axId val="584920312"/>
      </c:barChart>
      <c:catAx>
        <c:axId val="584915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84920312"/>
        <c:crosses val="autoZero"/>
        <c:auto val="1"/>
        <c:lblAlgn val="ctr"/>
        <c:lblOffset val="100"/>
        <c:noMultiLvlLbl val="0"/>
      </c:catAx>
      <c:valAx>
        <c:axId val="584920312"/>
        <c:scaling>
          <c:orientation val="minMax"/>
        </c:scaling>
        <c:delete val="1"/>
        <c:axPos val="b"/>
        <c:numFmt formatCode="#,##0" sourceLinked="1"/>
        <c:majorTickMark val="none"/>
        <c:minorTickMark val="none"/>
        <c:tickLblPos val="nextTo"/>
        <c:crossAx val="584915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Report2_Data!$A$2:$A$4</c:f>
              <c:strCache>
                <c:ptCount val="3"/>
                <c:pt idx="0">
                  <c:v>0 to 2 years</c:v>
                </c:pt>
                <c:pt idx="1">
                  <c:v>3 to 5 years</c:v>
                </c:pt>
                <c:pt idx="2">
                  <c:v>6 to 8 years</c:v>
                </c:pt>
              </c:strCache>
            </c:strRef>
          </c:cat>
          <c:val>
            <c:numRef>
              <c:f>Report2_Data!$B$2:$B$4</c:f>
              <c:numCache>
                <c:formatCode>#,##0</c:formatCode>
                <c:ptCount val="3"/>
                <c:pt idx="0">
                  <c:v>20</c:v>
                </c:pt>
                <c:pt idx="1">
                  <c:v>70</c:v>
                </c:pt>
                <c:pt idx="2">
                  <c:v>10</c:v>
                </c:pt>
              </c:numCache>
            </c:numRef>
          </c:val>
          <c:extLst>
            <c:ext xmlns:c16="http://schemas.microsoft.com/office/drawing/2014/chart" uri="{C3380CC4-5D6E-409C-BE32-E72D297353CC}">
              <c16:uniqueId val="{00000000-AF41-404F-B63E-369217A70DD5}"/>
            </c:ext>
          </c:extLst>
        </c:ser>
        <c:dLbls>
          <c:dLblPos val="inEnd"/>
          <c:showLegendKey val="0"/>
          <c:showVal val="1"/>
          <c:showCatName val="0"/>
          <c:showSerName val="0"/>
          <c:showPercent val="0"/>
          <c:showBubbleSize val="0"/>
        </c:dLbls>
        <c:gapWidth val="219"/>
        <c:overlap val="-27"/>
        <c:axId val="219414216"/>
        <c:axId val="219414544"/>
      </c:barChart>
      <c:catAx>
        <c:axId val="219414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19414544"/>
        <c:crosses val="autoZero"/>
        <c:auto val="1"/>
        <c:lblAlgn val="ctr"/>
        <c:lblOffset val="100"/>
        <c:noMultiLvlLbl val="0"/>
      </c:catAx>
      <c:valAx>
        <c:axId val="219414544"/>
        <c:scaling>
          <c:orientation val="minMax"/>
        </c:scaling>
        <c:delete val="1"/>
        <c:axPos val="l"/>
        <c:numFmt formatCode="#,##0" sourceLinked="1"/>
        <c:majorTickMark val="none"/>
        <c:minorTickMark val="none"/>
        <c:tickLblPos val="nextTo"/>
        <c:crossAx val="219414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44450" cap="rnd">
              <a:solidFill>
                <a:schemeClr val="bg2">
                  <a:lumMod val="75000"/>
                </a:schemeClr>
              </a:solidFill>
              <a:round/>
            </a:ln>
            <a:effectLst/>
          </c:spPr>
          <c:marker>
            <c:symbol val="circle"/>
            <c:size val="5"/>
            <c:spPr>
              <a:solidFill>
                <a:schemeClr val="tx1"/>
              </a:solidFill>
              <a:ln w="349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Report7_Data!$D$11:$D$15</c:f>
              <c:strCache>
                <c:ptCount val="5"/>
                <c:pt idx="0">
                  <c:v>10th Percentile</c:v>
                </c:pt>
                <c:pt idx="1">
                  <c:v>25th Percentile</c:v>
                </c:pt>
                <c:pt idx="2">
                  <c:v>50th Percentile</c:v>
                </c:pt>
                <c:pt idx="3">
                  <c:v>75th Percentile</c:v>
                </c:pt>
                <c:pt idx="4">
                  <c:v>90th Percentile</c:v>
                </c:pt>
              </c:strCache>
            </c:strRef>
          </c:cat>
          <c:val>
            <c:numRef>
              <c:f>Report7_Data!$E$11:$E$15</c:f>
              <c:numCache>
                <c:formatCode>"$"#,##0_);[Red]\("$"#,##0\)</c:formatCode>
                <c:ptCount val="5"/>
                <c:pt idx="0">
                  <c:v>43728</c:v>
                </c:pt>
                <c:pt idx="1">
                  <c:v>58207</c:v>
                </c:pt>
                <c:pt idx="2">
                  <c:v>77722</c:v>
                </c:pt>
                <c:pt idx="3">
                  <c:v>85143</c:v>
                </c:pt>
                <c:pt idx="4">
                  <c:v>86955</c:v>
                </c:pt>
              </c:numCache>
            </c:numRef>
          </c:val>
          <c:smooth val="0"/>
          <c:extLst>
            <c:ext xmlns:c16="http://schemas.microsoft.com/office/drawing/2014/chart" uri="{C3380CC4-5D6E-409C-BE32-E72D297353CC}">
              <c16:uniqueId val="{00000000-3328-4A9C-A38F-ED8BB060E3A2}"/>
            </c:ext>
          </c:extLst>
        </c:ser>
        <c:dLbls>
          <c:dLblPos val="t"/>
          <c:showLegendKey val="0"/>
          <c:showVal val="1"/>
          <c:showCatName val="0"/>
          <c:showSerName val="0"/>
          <c:showPercent val="0"/>
          <c:showBubbleSize val="0"/>
        </c:dLbls>
        <c:marker val="1"/>
        <c:smooth val="0"/>
        <c:axId val="475331880"/>
        <c:axId val="475332864"/>
      </c:lineChart>
      <c:catAx>
        <c:axId val="475331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475332864"/>
        <c:crosses val="autoZero"/>
        <c:auto val="1"/>
        <c:lblAlgn val="ctr"/>
        <c:lblOffset val="100"/>
        <c:noMultiLvlLbl val="0"/>
      </c:catAx>
      <c:valAx>
        <c:axId val="475332864"/>
        <c:scaling>
          <c:orientation val="minMax"/>
        </c:scaling>
        <c:delete val="0"/>
        <c:axPos val="l"/>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475331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DCEF-4FEC-4B76-A51D-537A581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Kristen</dc:creator>
  <cp:keywords/>
  <dc:description/>
  <cp:lastModifiedBy>Gatewood, David</cp:lastModifiedBy>
  <cp:revision>2</cp:revision>
  <cp:lastPrinted>2019-02-14T22:41:00Z</cp:lastPrinted>
  <dcterms:created xsi:type="dcterms:W3CDTF">2022-11-21T19:44:00Z</dcterms:created>
  <dcterms:modified xsi:type="dcterms:W3CDTF">2022-11-21T19:44:00Z</dcterms:modified>
</cp:coreProperties>
</file>